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DBF9" w14:textId="7618650A" w:rsidR="00A23D5B" w:rsidRPr="005810A7" w:rsidRDefault="00A23D5B" w:rsidP="005810A7">
      <w:pPr>
        <w:jc w:val="center"/>
        <w:rPr>
          <w:rFonts w:ascii="Times New Roman" w:eastAsiaTheme="majorEastAsia" w:hAnsi="Times New Roman" w:cs="Times New Roman" w:hint="eastAsia"/>
          <w:spacing w:val="-10"/>
          <w:kern w:val="28"/>
          <w:sz w:val="32"/>
          <w:szCs w:val="32"/>
          <w:lang w:eastAsia="zh-CN"/>
        </w:rPr>
      </w:pPr>
      <w:r w:rsidRPr="005810A7">
        <w:rPr>
          <w:rFonts w:ascii="Times New Roman" w:eastAsiaTheme="majorEastAsia" w:hAnsi="Times New Roman" w:cs="Times New Roman"/>
          <w:spacing w:val="-10"/>
          <w:kern w:val="28"/>
          <w:sz w:val="32"/>
          <w:szCs w:val="32"/>
        </w:rPr>
        <w:t>Non-Linear Distance Decay of Urban Amenities in Housing Prices: Evidence from Explainable Artificial Intelligence in a Hyper-Dense City</w:t>
      </w:r>
    </w:p>
    <w:p w14:paraId="0C2A3451" w14:textId="343C8794" w:rsidR="00A23D5B" w:rsidRPr="005810A7" w:rsidRDefault="00A23D5B" w:rsidP="005810A7">
      <w:pPr>
        <w:jc w:val="center"/>
        <w:rPr>
          <w:rFonts w:ascii="Times New Roman" w:eastAsia="宋体" w:hAnsi="Times New Roman" w:cs="Times New Roman" w:hint="eastAsia"/>
          <w:lang w:eastAsia="zh-CN"/>
        </w:rPr>
      </w:pPr>
      <w:r w:rsidRPr="005810A7">
        <w:rPr>
          <w:rFonts w:ascii="Times New Roman" w:hAnsi="Times New Roman" w:cs="Times New Roman"/>
        </w:rPr>
        <w:t>Teklebirhan Alemnew Gebeyehu</w:t>
      </w:r>
      <w:r w:rsidRPr="005810A7">
        <w:rPr>
          <w:rFonts w:ascii="Times New Roman" w:hAnsi="Times New Roman" w:cs="Times New Roman"/>
          <w:vertAlign w:val="superscript"/>
        </w:rPr>
        <w:t>1,2</w:t>
      </w:r>
      <w:r w:rsidRPr="005810A7">
        <w:rPr>
          <w:rFonts w:ascii="Times New Roman" w:hAnsi="Times New Roman" w:cs="Times New Roman"/>
        </w:rPr>
        <w:t>, Pengyu Zhu</w:t>
      </w:r>
      <w:r w:rsidRPr="005810A7">
        <w:rPr>
          <w:rFonts w:ascii="Times New Roman" w:hAnsi="Times New Roman" w:cs="Times New Roman"/>
          <w:vertAlign w:val="superscript"/>
        </w:rPr>
        <w:t xml:space="preserve">1, 2, </w:t>
      </w:r>
      <w:r w:rsidRPr="005810A7">
        <w:rPr>
          <w:rFonts w:ascii="Times New Roman" w:hAnsi="Times New Roman" w:cs="Times New Roman"/>
        </w:rPr>
        <w:t>*,</w:t>
      </w:r>
    </w:p>
    <w:p w14:paraId="4A25B714" w14:textId="77777777" w:rsidR="00A23D5B" w:rsidRPr="005810A7" w:rsidRDefault="00A23D5B" w:rsidP="00A23D5B">
      <w:pPr>
        <w:jc w:val="center"/>
        <w:rPr>
          <w:rFonts w:ascii="Times New Roman" w:hAnsi="Times New Roman" w:cs="Times New Roman"/>
        </w:rPr>
      </w:pPr>
      <w:r w:rsidRPr="005810A7">
        <w:rPr>
          <w:rFonts w:ascii="Times New Roman" w:hAnsi="Times New Roman" w:cs="Times New Roman"/>
          <w:vertAlign w:val="superscript"/>
        </w:rPr>
        <w:t>1</w:t>
      </w:r>
      <w:r w:rsidRPr="005810A7">
        <w:rPr>
          <w:rFonts w:ascii="Times New Roman" w:hAnsi="Times New Roman" w:cs="Times New Roman"/>
        </w:rPr>
        <w:t>Division of Public Policy, Hong Kong University of Science and Technology (HKUST), Hong Kong SAR, China</w:t>
      </w:r>
    </w:p>
    <w:p w14:paraId="23ED6830" w14:textId="77777777" w:rsidR="00A23D5B" w:rsidRPr="005810A7" w:rsidRDefault="00A23D5B" w:rsidP="00A23D5B">
      <w:pPr>
        <w:jc w:val="center"/>
        <w:rPr>
          <w:rFonts w:ascii="Times New Roman" w:hAnsi="Times New Roman" w:cs="Times New Roman"/>
        </w:rPr>
      </w:pPr>
      <w:r w:rsidRPr="005810A7">
        <w:rPr>
          <w:rFonts w:ascii="Times New Roman" w:hAnsi="Times New Roman" w:cs="Times New Roman"/>
          <w:vertAlign w:val="superscript"/>
        </w:rPr>
        <w:t>2</w:t>
      </w:r>
      <w:r w:rsidRPr="005810A7">
        <w:rPr>
          <w:rFonts w:ascii="Times New Roman" w:hAnsi="Times New Roman" w:cs="Times New Roman"/>
        </w:rPr>
        <w:t>Center for AI in Economic, Social and Environmental Research (CAESER), HKUST, Hong Kong SAR, China</w:t>
      </w:r>
    </w:p>
    <w:p w14:paraId="7B1F5FC4" w14:textId="77777777" w:rsidR="00A23D5B" w:rsidRPr="005810A7" w:rsidRDefault="00A23D5B" w:rsidP="005810A7">
      <w:pPr>
        <w:rPr>
          <w:rFonts w:ascii="Times New Roman" w:hAnsi="Times New Roman" w:cs="Times New Roman" w:hint="eastAsia"/>
          <w:lang w:eastAsia="zh-CN"/>
        </w:rPr>
      </w:pPr>
    </w:p>
    <w:p w14:paraId="7DA9EE77" w14:textId="77777777" w:rsidR="00A23D5B" w:rsidRPr="005810A7" w:rsidRDefault="00A23D5B" w:rsidP="00A23D5B">
      <w:pPr>
        <w:jc w:val="center"/>
        <w:rPr>
          <w:rFonts w:ascii="Times New Roman" w:hAnsi="Times New Roman" w:cs="Times New Roman"/>
        </w:rPr>
      </w:pPr>
      <w:r w:rsidRPr="005810A7">
        <w:rPr>
          <w:rFonts w:ascii="Times New Roman" w:hAnsi="Times New Roman" w:cs="Times New Roman"/>
        </w:rPr>
        <w:t>*Corresponding Author: Pengyu Zhu</w:t>
      </w:r>
    </w:p>
    <w:p w14:paraId="7B2E4CA1" w14:textId="77777777" w:rsidR="00A23D5B" w:rsidRPr="005810A7" w:rsidRDefault="00A23D5B" w:rsidP="00A23D5B">
      <w:pPr>
        <w:jc w:val="center"/>
        <w:rPr>
          <w:rFonts w:ascii="Times New Roman" w:hAnsi="Times New Roman" w:cs="Times New Roman"/>
        </w:rPr>
      </w:pPr>
      <w:r w:rsidRPr="005810A7">
        <w:rPr>
          <w:rFonts w:ascii="Times New Roman" w:hAnsi="Times New Roman" w:cs="Times New Roman"/>
        </w:rPr>
        <w:t xml:space="preserve"> </w:t>
      </w:r>
      <w:hyperlink r:id="rId8" w:history="1">
        <w:r w:rsidRPr="005810A7">
          <w:rPr>
            <w:rStyle w:val="af4"/>
            <w:rFonts w:ascii="Times New Roman" w:hAnsi="Times New Roman" w:cs="Times New Roman"/>
          </w:rPr>
          <w:t>pengyuzhu@ust.hk</w:t>
        </w:r>
      </w:hyperlink>
      <w:r w:rsidRPr="005810A7">
        <w:rPr>
          <w:rFonts w:ascii="Times New Roman" w:hAnsi="Times New Roman" w:cs="Times New Roman"/>
        </w:rPr>
        <w:t xml:space="preserve"> </w:t>
      </w:r>
    </w:p>
    <w:p w14:paraId="3A3EB101" w14:textId="77777777" w:rsidR="00A23D5B" w:rsidRPr="005810A7" w:rsidRDefault="00A23D5B" w:rsidP="00A23D5B">
      <w:pPr>
        <w:jc w:val="center"/>
        <w:rPr>
          <w:rFonts w:ascii="Times New Roman" w:eastAsia="宋体" w:hAnsi="Times New Roman" w:cs="Times New Roman"/>
          <w:lang w:eastAsia="zh-TW"/>
        </w:rPr>
      </w:pPr>
      <w:r w:rsidRPr="005810A7">
        <w:rPr>
          <w:rFonts w:ascii="Times New Roman" w:hAnsi="Times New Roman" w:cs="Times New Roman"/>
        </w:rPr>
        <w:t>Room 4616C, Academic Building, The Hong Kong University of Science and Technology, Clear Water Bay, Kowloon, Hong Kong SAR, China</w:t>
      </w:r>
    </w:p>
    <w:p w14:paraId="228A9ECC" w14:textId="77777777" w:rsidR="00A23D5B" w:rsidRDefault="00A23D5B" w:rsidP="00CE2308">
      <w:pPr>
        <w:spacing w:line="360" w:lineRule="auto"/>
        <w:jc w:val="both"/>
        <w:rPr>
          <w:rFonts w:ascii="Times New Roman" w:hAnsi="Times New Roman" w:cs="Times New Roman"/>
          <w:b/>
          <w:bCs/>
          <w:sz w:val="24"/>
          <w:szCs w:val="24"/>
          <w:lang w:eastAsia="zh-CN"/>
        </w:rPr>
      </w:pPr>
    </w:p>
    <w:p w14:paraId="0A6DF9DE" w14:textId="77777777" w:rsidR="00A23D5B" w:rsidRDefault="00A23D5B" w:rsidP="00CE2308">
      <w:pPr>
        <w:spacing w:line="360" w:lineRule="auto"/>
        <w:jc w:val="both"/>
        <w:rPr>
          <w:rFonts w:ascii="Times New Roman" w:hAnsi="Times New Roman" w:cs="Times New Roman"/>
          <w:b/>
          <w:bCs/>
          <w:sz w:val="24"/>
          <w:szCs w:val="24"/>
          <w:lang w:eastAsia="zh-CN"/>
        </w:rPr>
      </w:pPr>
    </w:p>
    <w:p w14:paraId="6BA84DCA" w14:textId="77777777" w:rsidR="00A23D5B" w:rsidRDefault="00A23D5B" w:rsidP="00CE2308">
      <w:pPr>
        <w:spacing w:line="360" w:lineRule="auto"/>
        <w:jc w:val="both"/>
        <w:rPr>
          <w:rFonts w:ascii="Times New Roman" w:hAnsi="Times New Roman" w:cs="Times New Roman"/>
          <w:b/>
          <w:bCs/>
          <w:sz w:val="24"/>
          <w:szCs w:val="24"/>
          <w:lang w:eastAsia="zh-CN"/>
        </w:rPr>
      </w:pPr>
    </w:p>
    <w:p w14:paraId="41965E5F" w14:textId="77777777" w:rsidR="00A23D5B" w:rsidRDefault="00A23D5B" w:rsidP="00CE2308">
      <w:pPr>
        <w:spacing w:line="360" w:lineRule="auto"/>
        <w:jc w:val="both"/>
        <w:rPr>
          <w:rFonts w:ascii="Times New Roman" w:hAnsi="Times New Roman" w:cs="Times New Roman"/>
          <w:b/>
          <w:bCs/>
          <w:sz w:val="24"/>
          <w:szCs w:val="24"/>
          <w:lang w:eastAsia="zh-CN"/>
        </w:rPr>
      </w:pPr>
    </w:p>
    <w:p w14:paraId="5B4EBB26" w14:textId="77777777" w:rsidR="00A23D5B" w:rsidRDefault="00A23D5B" w:rsidP="00CE2308">
      <w:pPr>
        <w:spacing w:line="360" w:lineRule="auto"/>
        <w:jc w:val="both"/>
        <w:rPr>
          <w:rFonts w:ascii="Times New Roman" w:hAnsi="Times New Roman" w:cs="Times New Roman"/>
          <w:b/>
          <w:bCs/>
          <w:sz w:val="24"/>
          <w:szCs w:val="24"/>
          <w:lang w:eastAsia="zh-CN"/>
        </w:rPr>
      </w:pPr>
    </w:p>
    <w:p w14:paraId="75BB76C5" w14:textId="77777777" w:rsidR="00A23D5B" w:rsidRDefault="00A23D5B" w:rsidP="00CE2308">
      <w:pPr>
        <w:spacing w:line="360" w:lineRule="auto"/>
        <w:jc w:val="both"/>
        <w:rPr>
          <w:rFonts w:ascii="Times New Roman" w:hAnsi="Times New Roman" w:cs="Times New Roman"/>
          <w:b/>
          <w:bCs/>
          <w:sz w:val="24"/>
          <w:szCs w:val="24"/>
          <w:lang w:eastAsia="zh-CN"/>
        </w:rPr>
      </w:pPr>
    </w:p>
    <w:p w14:paraId="1A8B921A" w14:textId="77777777" w:rsidR="00A23D5B" w:rsidRDefault="00A23D5B" w:rsidP="00CE2308">
      <w:pPr>
        <w:spacing w:line="360" w:lineRule="auto"/>
        <w:jc w:val="both"/>
        <w:rPr>
          <w:rFonts w:ascii="Times New Roman" w:hAnsi="Times New Roman" w:cs="Times New Roman"/>
          <w:b/>
          <w:bCs/>
          <w:sz w:val="24"/>
          <w:szCs w:val="24"/>
          <w:lang w:eastAsia="zh-CN"/>
        </w:rPr>
      </w:pPr>
    </w:p>
    <w:p w14:paraId="0F98E241" w14:textId="77777777" w:rsidR="00A23D5B" w:rsidRDefault="00A23D5B" w:rsidP="00CE2308">
      <w:pPr>
        <w:spacing w:line="360" w:lineRule="auto"/>
        <w:jc w:val="both"/>
        <w:rPr>
          <w:rFonts w:ascii="Times New Roman" w:hAnsi="Times New Roman" w:cs="Times New Roman"/>
          <w:b/>
          <w:bCs/>
          <w:sz w:val="24"/>
          <w:szCs w:val="24"/>
          <w:lang w:eastAsia="zh-CN"/>
        </w:rPr>
      </w:pPr>
    </w:p>
    <w:p w14:paraId="4DBA15F3" w14:textId="77777777" w:rsidR="00A23D5B" w:rsidRDefault="00A23D5B" w:rsidP="00CE2308">
      <w:pPr>
        <w:spacing w:line="360" w:lineRule="auto"/>
        <w:jc w:val="both"/>
        <w:rPr>
          <w:rFonts w:ascii="Times New Roman" w:hAnsi="Times New Roman" w:cs="Times New Roman"/>
          <w:b/>
          <w:bCs/>
          <w:sz w:val="24"/>
          <w:szCs w:val="24"/>
          <w:lang w:eastAsia="zh-CN"/>
        </w:rPr>
      </w:pPr>
    </w:p>
    <w:p w14:paraId="58D5282C" w14:textId="7A5B7B00" w:rsidR="00E920E3" w:rsidRPr="00721AE3" w:rsidRDefault="00AD6B32" w:rsidP="00CE2308">
      <w:pPr>
        <w:spacing w:line="360" w:lineRule="auto"/>
        <w:jc w:val="both"/>
        <w:rPr>
          <w:rFonts w:ascii="Times New Roman" w:hAnsi="Times New Roman" w:cs="Times New Roman"/>
          <w:b/>
          <w:bCs/>
          <w:sz w:val="24"/>
          <w:szCs w:val="24"/>
        </w:rPr>
      </w:pPr>
      <w:r w:rsidRPr="00721AE3">
        <w:rPr>
          <w:rFonts w:ascii="Times New Roman" w:hAnsi="Times New Roman" w:cs="Times New Roman"/>
          <w:b/>
          <w:bCs/>
          <w:sz w:val="24"/>
          <w:szCs w:val="24"/>
        </w:rPr>
        <w:t>Non-Linear Distance Decay</w:t>
      </w:r>
      <w:r w:rsidR="00C1298F" w:rsidRPr="00721AE3">
        <w:rPr>
          <w:rFonts w:ascii="Times New Roman" w:hAnsi="Times New Roman" w:cs="Times New Roman"/>
          <w:b/>
          <w:bCs/>
          <w:sz w:val="24"/>
          <w:szCs w:val="24"/>
        </w:rPr>
        <w:t xml:space="preserve"> </w:t>
      </w:r>
      <w:r w:rsidRPr="00721AE3">
        <w:rPr>
          <w:rFonts w:ascii="Times New Roman" w:hAnsi="Times New Roman" w:cs="Times New Roman"/>
          <w:b/>
          <w:bCs/>
          <w:sz w:val="24"/>
          <w:szCs w:val="24"/>
        </w:rPr>
        <w:t xml:space="preserve">of Urban Amenities </w:t>
      </w:r>
      <w:r w:rsidR="00024514" w:rsidRPr="00721AE3">
        <w:rPr>
          <w:rFonts w:ascii="Times New Roman" w:hAnsi="Times New Roman" w:cs="Times New Roman"/>
          <w:b/>
          <w:bCs/>
          <w:sz w:val="24"/>
          <w:szCs w:val="24"/>
        </w:rPr>
        <w:t>in</w:t>
      </w:r>
      <w:r w:rsidRPr="00721AE3">
        <w:rPr>
          <w:rFonts w:ascii="Times New Roman" w:hAnsi="Times New Roman" w:cs="Times New Roman"/>
          <w:b/>
          <w:bCs/>
          <w:sz w:val="24"/>
          <w:szCs w:val="24"/>
        </w:rPr>
        <w:t xml:space="preserve"> Housing Prices: Evidence from </w:t>
      </w:r>
      <w:r w:rsidR="00DF4159" w:rsidRPr="00721AE3">
        <w:rPr>
          <w:rFonts w:ascii="Times New Roman" w:hAnsi="Times New Roman" w:cs="Times New Roman"/>
          <w:b/>
          <w:bCs/>
          <w:sz w:val="24"/>
          <w:szCs w:val="24"/>
        </w:rPr>
        <w:t>Explainable Artificial Intelligence</w:t>
      </w:r>
      <w:r w:rsidR="00024514" w:rsidRPr="00721AE3">
        <w:rPr>
          <w:rFonts w:ascii="Times New Roman" w:hAnsi="Times New Roman" w:cs="Times New Roman"/>
          <w:b/>
          <w:bCs/>
          <w:sz w:val="24"/>
          <w:szCs w:val="24"/>
        </w:rPr>
        <w:t xml:space="preserve"> in a Hyper-Dense City</w:t>
      </w:r>
    </w:p>
    <w:p w14:paraId="4CB8EC40" w14:textId="77777777" w:rsidR="003B704E" w:rsidRPr="00721AE3" w:rsidRDefault="003B704E" w:rsidP="003B704E">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Teklebirhan Alemnew Gebeyehu1,2, Pengyu Zhu1, 2, *,</w:t>
      </w:r>
    </w:p>
    <w:p w14:paraId="1CE3AE9E" w14:textId="77777777" w:rsidR="003B704E" w:rsidRPr="00721AE3" w:rsidRDefault="003B704E" w:rsidP="003B704E">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vertAlign w:val="superscript"/>
        </w:rPr>
        <w:lastRenderedPageBreak/>
        <w:t>1</w:t>
      </w:r>
      <w:r w:rsidRPr="00721AE3">
        <w:rPr>
          <w:rFonts w:ascii="Times New Roman" w:hAnsi="Times New Roman" w:cs="Times New Roman"/>
          <w:sz w:val="24"/>
          <w:szCs w:val="24"/>
        </w:rPr>
        <w:t>Division of Public Policy, Hong Kong University of Science and Technology (HKUST), Hong Kong SAR, China</w:t>
      </w:r>
    </w:p>
    <w:p w14:paraId="50C81C7E" w14:textId="65AEADF3" w:rsidR="00C50DC1" w:rsidRPr="00721AE3" w:rsidRDefault="003B704E" w:rsidP="003B704E">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vertAlign w:val="superscript"/>
        </w:rPr>
        <w:t>2</w:t>
      </w:r>
      <w:r w:rsidRPr="00721AE3">
        <w:rPr>
          <w:rFonts w:ascii="Times New Roman" w:hAnsi="Times New Roman" w:cs="Times New Roman"/>
          <w:sz w:val="24"/>
          <w:szCs w:val="24"/>
        </w:rPr>
        <w:t>Center for AI in Economic, Social and Environmental Research (CAESER), HKUST, Hong Kong SAR, China</w:t>
      </w:r>
    </w:p>
    <w:p w14:paraId="0597B78F" w14:textId="709A76A0" w:rsidR="008705AD" w:rsidRPr="00721AE3" w:rsidRDefault="008705AD" w:rsidP="008705AD">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*Corresponding Author Email</w:t>
      </w:r>
      <w:r w:rsidR="00440BD6" w:rsidRPr="00721AE3">
        <w:rPr>
          <w:rFonts w:ascii="Times New Roman" w:hAnsi="Times New Roman" w:cs="Times New Roman"/>
          <w:sz w:val="24"/>
          <w:szCs w:val="24"/>
        </w:rPr>
        <w:t xml:space="preserve"> address</w:t>
      </w:r>
      <w:r w:rsidRPr="00721AE3">
        <w:rPr>
          <w:rFonts w:ascii="Times New Roman" w:hAnsi="Times New Roman" w:cs="Times New Roman"/>
          <w:sz w:val="24"/>
          <w:szCs w:val="24"/>
        </w:rPr>
        <w:t xml:space="preserve">: </w:t>
      </w:r>
      <w:hyperlink r:id="rId9" w:history="1">
        <w:r w:rsidR="00440BD6" w:rsidRPr="00E41173">
          <w:rPr>
            <w:rStyle w:val="af4"/>
            <w:rFonts w:ascii="Times New Roman" w:hAnsi="Times New Roman" w:cs="Times New Roman"/>
            <w:color w:val="0070C0"/>
            <w:sz w:val="24"/>
            <w:szCs w:val="24"/>
          </w:rPr>
          <w:t>pengyuzhu@ust.hk</w:t>
        </w:r>
      </w:hyperlink>
      <w:r w:rsidR="00E41173">
        <w:t xml:space="preserve"> </w:t>
      </w:r>
      <w:r w:rsidR="00440BD6" w:rsidRPr="00721AE3">
        <w:rPr>
          <w:rFonts w:ascii="Times New Roman" w:hAnsi="Times New Roman" w:cs="Times New Roman"/>
          <w:sz w:val="24"/>
          <w:szCs w:val="24"/>
        </w:rPr>
        <w:t>(</w:t>
      </w:r>
      <w:r w:rsidRPr="00721AE3">
        <w:rPr>
          <w:rFonts w:ascii="Times New Roman" w:hAnsi="Times New Roman" w:cs="Times New Roman"/>
          <w:sz w:val="24"/>
          <w:szCs w:val="24"/>
        </w:rPr>
        <w:t>P. Zhu</w:t>
      </w:r>
      <w:r w:rsidR="00440BD6" w:rsidRPr="00721AE3">
        <w:rPr>
          <w:rFonts w:ascii="Times New Roman" w:hAnsi="Times New Roman" w:cs="Times New Roman"/>
          <w:sz w:val="24"/>
          <w:szCs w:val="24"/>
        </w:rPr>
        <w:t>)</w:t>
      </w:r>
    </w:p>
    <w:p w14:paraId="4C9BA628" w14:textId="7A81DA77" w:rsidR="00E920E3" w:rsidRPr="00721AE3" w:rsidRDefault="008705AD" w:rsidP="00CE2308">
      <w:pPr>
        <w:spacing w:line="360" w:lineRule="auto"/>
        <w:jc w:val="both"/>
        <w:rPr>
          <w:rFonts w:ascii="Times New Roman" w:hAnsi="Times New Roman" w:cs="Times New Roman"/>
          <w:b/>
          <w:bCs/>
          <w:sz w:val="24"/>
          <w:szCs w:val="24"/>
        </w:rPr>
      </w:pPr>
      <w:r w:rsidRPr="00721AE3">
        <w:rPr>
          <w:rFonts w:ascii="Times New Roman" w:hAnsi="Times New Roman" w:cs="Times New Roman"/>
          <w:sz w:val="24"/>
          <w:szCs w:val="24"/>
        </w:rPr>
        <w:t xml:space="preserve"> </w:t>
      </w:r>
      <w:r w:rsidR="00E920E3" w:rsidRPr="00721AE3">
        <w:rPr>
          <w:rFonts w:ascii="Times New Roman" w:hAnsi="Times New Roman" w:cs="Times New Roman"/>
          <w:b/>
          <w:bCs/>
          <w:sz w:val="24"/>
          <w:szCs w:val="24"/>
        </w:rPr>
        <w:t xml:space="preserve">Abstract </w:t>
      </w:r>
    </w:p>
    <w:p w14:paraId="14986DB0" w14:textId="76E2A2A7" w:rsidR="001379A1" w:rsidRPr="00721AE3" w:rsidRDefault="00F8615B" w:rsidP="00D26A36">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Urban amenities shape housing prices through spatially localized and distance-sensitive effects. Against this backdrop, this study examines the distance decay patterns of multiple urban amenities in Hong Kong, a hyper-dense and highly mixed-use city, using a large-scale dataset of 722,244 housing transactions from 2012 to 2020. An eXtreme Gradient Boosting (XGBoost) model is employed alongside explainable artificial intelligence (XAI) tools, specifically Accumulated Local Effects (ALE) and Shapley Additive Explanations (SHAP), to uncover continuous and interpretable distance-response relationships. Accessibility is measured using pedestrian walking network distance, </w:t>
      </w:r>
      <w:r w:rsidR="008E3B38" w:rsidRPr="00721AE3">
        <w:rPr>
          <w:rFonts w:ascii="Times New Roman" w:hAnsi="Times New Roman" w:cs="Times New Roman"/>
          <w:sz w:val="24"/>
          <w:szCs w:val="24"/>
        </w:rPr>
        <w:t>offer</w:t>
      </w:r>
      <w:r w:rsidRPr="00721AE3">
        <w:rPr>
          <w:rFonts w:ascii="Times New Roman" w:hAnsi="Times New Roman" w:cs="Times New Roman"/>
          <w:sz w:val="24"/>
          <w:szCs w:val="24"/>
        </w:rPr>
        <w:t>ing a more behaviorally realistic representation of accessibility in a highly connected urban environment. The results reveal that amenity capitalization is strongly non-linear, threshold-dependent, and highly heterogeneous across amenity types. Positive effects are concentrated within amenity-specific service catchments, beyond which they weaken and, in many cases, become negative. Transport amenities exhibit distinct service catchments, with bus stops generating highly localized effects and metro stations influencing housing prices over broader network distances. Healthcare, commercial, recreational, and educational amenities similarly display differentiated and non-monotonic capitalization patterns that reflect their functional roles, accessibility benefits, and localized externalities. By identifying amenity-specific distance thresholds and continuous distance-response functions, this study advances the measurement of spatial capitalization and demonstrates the value of integrating explainable machine learning with network-based accessibility measures for urban analysis. The findings provide practical guidance for accessibility-based planning, optimal amenity placement, and evidence-based land-use planning in high-density urban environments</w:t>
      </w:r>
      <w:r w:rsidR="001379A1" w:rsidRPr="00721AE3">
        <w:rPr>
          <w:rFonts w:ascii="Times New Roman" w:hAnsi="Times New Roman" w:cs="Times New Roman"/>
          <w:sz w:val="24"/>
          <w:szCs w:val="24"/>
        </w:rPr>
        <w:t>.</w:t>
      </w:r>
    </w:p>
    <w:p w14:paraId="7C38DAD2" w14:textId="36683C6D" w:rsidR="0035225D" w:rsidRPr="00721AE3" w:rsidRDefault="0035225D" w:rsidP="001379A1">
      <w:pPr>
        <w:spacing w:line="360" w:lineRule="auto"/>
        <w:jc w:val="both"/>
        <w:rPr>
          <w:rFonts w:ascii="Times New Roman" w:hAnsi="Times New Roman" w:cs="Times New Roman"/>
          <w:sz w:val="24"/>
          <w:szCs w:val="24"/>
        </w:rPr>
      </w:pPr>
      <w:r w:rsidRPr="00721AE3">
        <w:rPr>
          <w:rFonts w:ascii="Times New Roman" w:hAnsi="Times New Roman" w:cs="Times New Roman"/>
          <w:b/>
          <w:bCs/>
          <w:sz w:val="24"/>
          <w:szCs w:val="24"/>
        </w:rPr>
        <w:t>Keywords:</w:t>
      </w:r>
      <w:r w:rsidRPr="00721AE3">
        <w:rPr>
          <w:rFonts w:ascii="Times New Roman" w:hAnsi="Times New Roman" w:cs="Times New Roman"/>
          <w:sz w:val="24"/>
          <w:szCs w:val="24"/>
        </w:rPr>
        <w:t xml:space="preserve"> </w:t>
      </w:r>
      <w:r w:rsidR="00AB2740" w:rsidRPr="00721AE3">
        <w:rPr>
          <w:rFonts w:ascii="Times New Roman" w:hAnsi="Times New Roman" w:cs="Times New Roman"/>
          <w:sz w:val="24"/>
          <w:szCs w:val="24"/>
        </w:rPr>
        <w:t xml:space="preserve">Urban amenities; </w:t>
      </w:r>
      <w:r w:rsidR="009A4A06" w:rsidRPr="00721AE3">
        <w:rPr>
          <w:rFonts w:ascii="Times New Roman" w:hAnsi="Times New Roman" w:cs="Times New Roman"/>
          <w:sz w:val="24"/>
          <w:szCs w:val="24"/>
        </w:rPr>
        <w:t xml:space="preserve">Housing prices; </w:t>
      </w:r>
      <w:r w:rsidR="001F4A9C" w:rsidRPr="00721AE3">
        <w:rPr>
          <w:rFonts w:ascii="Times New Roman" w:hAnsi="Times New Roman" w:cs="Times New Roman"/>
          <w:sz w:val="24"/>
          <w:szCs w:val="24"/>
        </w:rPr>
        <w:t>Distance decay effect;</w:t>
      </w:r>
      <w:r w:rsidR="00DE228A" w:rsidRPr="00721AE3">
        <w:rPr>
          <w:rFonts w:ascii="Times New Roman" w:hAnsi="Times New Roman" w:cs="Times New Roman"/>
          <w:sz w:val="24"/>
          <w:szCs w:val="24"/>
        </w:rPr>
        <w:t xml:space="preserve"> Network distance;</w:t>
      </w:r>
      <w:r w:rsidR="001F4A9C" w:rsidRPr="00721AE3">
        <w:rPr>
          <w:rFonts w:ascii="Times New Roman" w:hAnsi="Times New Roman" w:cs="Times New Roman"/>
          <w:sz w:val="24"/>
          <w:szCs w:val="24"/>
        </w:rPr>
        <w:t xml:space="preserve"> </w:t>
      </w:r>
      <w:r w:rsidR="00120D9A" w:rsidRPr="00721AE3">
        <w:rPr>
          <w:rFonts w:ascii="Times New Roman" w:hAnsi="Times New Roman" w:cs="Times New Roman"/>
          <w:sz w:val="24"/>
          <w:szCs w:val="24"/>
        </w:rPr>
        <w:t>Explainable artificial intelligence</w:t>
      </w:r>
      <w:r w:rsidR="009A4A06" w:rsidRPr="00721AE3">
        <w:rPr>
          <w:rFonts w:ascii="Times New Roman" w:hAnsi="Times New Roman" w:cs="Times New Roman"/>
          <w:sz w:val="24"/>
          <w:szCs w:val="24"/>
        </w:rPr>
        <w:t>; Hong Kong</w:t>
      </w:r>
    </w:p>
    <w:p w14:paraId="3C253017" w14:textId="77777777" w:rsidR="0035225D" w:rsidRPr="00721AE3" w:rsidRDefault="0035225D" w:rsidP="001379A1">
      <w:pPr>
        <w:spacing w:line="360" w:lineRule="auto"/>
        <w:jc w:val="both"/>
        <w:rPr>
          <w:rFonts w:ascii="Times New Roman" w:hAnsi="Times New Roman" w:cs="Times New Roman"/>
          <w:sz w:val="24"/>
          <w:szCs w:val="24"/>
        </w:rPr>
      </w:pPr>
    </w:p>
    <w:p w14:paraId="5A064768" w14:textId="0C7C4FB4" w:rsidR="0040492F" w:rsidRPr="00721AE3" w:rsidRDefault="0040492F" w:rsidP="00CE2308">
      <w:pPr>
        <w:pStyle w:val="a9"/>
        <w:numPr>
          <w:ilvl w:val="0"/>
          <w:numId w:val="1"/>
        </w:numPr>
        <w:spacing w:line="360" w:lineRule="auto"/>
        <w:ind w:left="426" w:hanging="426"/>
        <w:jc w:val="both"/>
        <w:rPr>
          <w:rFonts w:ascii="Times New Roman" w:hAnsi="Times New Roman" w:cs="Times New Roman"/>
          <w:b/>
          <w:bCs/>
          <w:sz w:val="24"/>
          <w:szCs w:val="24"/>
        </w:rPr>
      </w:pPr>
      <w:r w:rsidRPr="00721AE3">
        <w:rPr>
          <w:rFonts w:ascii="Times New Roman" w:hAnsi="Times New Roman" w:cs="Times New Roman"/>
          <w:b/>
          <w:bCs/>
          <w:sz w:val="24"/>
          <w:szCs w:val="24"/>
        </w:rPr>
        <w:t>Introduction</w:t>
      </w:r>
    </w:p>
    <w:p w14:paraId="31F34AB6" w14:textId="46426066" w:rsidR="00B34ED3" w:rsidRPr="00721AE3" w:rsidRDefault="00B81EA8" w:rsidP="00BA06E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The capitalization of location-specific </w:t>
      </w:r>
      <w:r w:rsidR="00EB218F" w:rsidRPr="00721AE3">
        <w:rPr>
          <w:rFonts w:ascii="Times New Roman" w:hAnsi="Times New Roman" w:cs="Times New Roman"/>
          <w:sz w:val="24"/>
          <w:szCs w:val="24"/>
        </w:rPr>
        <w:t xml:space="preserve">urban </w:t>
      </w:r>
      <w:r w:rsidRPr="00721AE3">
        <w:rPr>
          <w:rFonts w:ascii="Times New Roman" w:hAnsi="Times New Roman" w:cs="Times New Roman"/>
          <w:sz w:val="24"/>
          <w:szCs w:val="24"/>
        </w:rPr>
        <w:t xml:space="preserve">amenities into housing prices is a central </w:t>
      </w:r>
      <w:r w:rsidR="00EB218F" w:rsidRPr="00721AE3">
        <w:rPr>
          <w:rFonts w:ascii="Times New Roman" w:hAnsi="Times New Roman" w:cs="Times New Roman"/>
          <w:sz w:val="24"/>
          <w:szCs w:val="24"/>
        </w:rPr>
        <w:t xml:space="preserve">topic </w:t>
      </w:r>
      <w:r w:rsidRPr="00721AE3">
        <w:rPr>
          <w:rFonts w:ascii="Times New Roman" w:hAnsi="Times New Roman" w:cs="Times New Roman"/>
          <w:sz w:val="24"/>
          <w:szCs w:val="24"/>
        </w:rPr>
        <w:t xml:space="preserve">in urban economics, reflecting how households trade off accessibility, convenience, and environmental quality against </w:t>
      </w:r>
      <w:r w:rsidR="005D5D54" w:rsidRPr="00721AE3">
        <w:rPr>
          <w:rFonts w:ascii="Times New Roman" w:hAnsi="Times New Roman" w:cs="Times New Roman"/>
          <w:sz w:val="24"/>
          <w:szCs w:val="24"/>
        </w:rPr>
        <w:t xml:space="preserve">housing </w:t>
      </w:r>
      <w:r w:rsidRPr="00721AE3">
        <w:rPr>
          <w:rFonts w:ascii="Times New Roman" w:hAnsi="Times New Roman" w:cs="Times New Roman"/>
          <w:sz w:val="24"/>
          <w:szCs w:val="24"/>
        </w:rPr>
        <w:t>costs (Gibbons &amp; Machin, 2008;</w:t>
      </w:r>
      <w:r w:rsidR="001149D7" w:rsidRPr="00721AE3">
        <w:rPr>
          <w:rFonts w:ascii="Times New Roman" w:hAnsi="Times New Roman" w:cs="Times New Roman"/>
          <w:sz w:val="24"/>
          <w:szCs w:val="24"/>
        </w:rPr>
        <w:t xml:space="preserve"> </w:t>
      </w:r>
      <w:r w:rsidRPr="00721AE3">
        <w:rPr>
          <w:rFonts w:ascii="Times New Roman" w:hAnsi="Times New Roman" w:cs="Times New Roman"/>
          <w:sz w:val="24"/>
          <w:szCs w:val="24"/>
        </w:rPr>
        <w:t>Yuan et al., 2020</w:t>
      </w:r>
      <w:r w:rsidR="00000431" w:rsidRPr="00721AE3">
        <w:rPr>
          <w:rFonts w:ascii="Times New Roman" w:hAnsi="Times New Roman" w:cs="Times New Roman"/>
          <w:sz w:val="24"/>
          <w:szCs w:val="24"/>
        </w:rPr>
        <w:t xml:space="preserve">; </w:t>
      </w:r>
      <w:r w:rsidR="00DF6A88" w:rsidRPr="00721AE3">
        <w:rPr>
          <w:rFonts w:ascii="Times New Roman" w:hAnsi="Times New Roman" w:cs="Times New Roman"/>
          <w:sz w:val="24"/>
          <w:szCs w:val="24"/>
        </w:rPr>
        <w:t>Chen et al., 2025</w:t>
      </w:r>
      <w:r w:rsidRPr="00721AE3">
        <w:rPr>
          <w:rFonts w:ascii="Times New Roman" w:hAnsi="Times New Roman" w:cs="Times New Roman"/>
          <w:sz w:val="24"/>
          <w:szCs w:val="24"/>
        </w:rPr>
        <w:t>).</w:t>
      </w:r>
      <w:r w:rsidR="006F021C"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In hyper-dense, mixed-use cities such as Hong Kong, where residential, commercial, transport, educational, healthcare, and recreational functions are tightly interwoven, these trade-offs </w:t>
      </w:r>
      <w:r w:rsidR="00EF11F7" w:rsidRPr="00721AE3">
        <w:rPr>
          <w:rFonts w:ascii="Times New Roman" w:hAnsi="Times New Roman" w:cs="Times New Roman"/>
          <w:sz w:val="24"/>
          <w:szCs w:val="24"/>
        </w:rPr>
        <w:t xml:space="preserve">occur </w:t>
      </w:r>
      <w:r w:rsidRPr="00721AE3">
        <w:rPr>
          <w:rFonts w:ascii="Times New Roman" w:hAnsi="Times New Roman" w:cs="Times New Roman"/>
          <w:sz w:val="24"/>
          <w:szCs w:val="24"/>
        </w:rPr>
        <w:t xml:space="preserve">within very short spatial ranges and are often highly non-linear (Wadu Mesthrige &amp; Maqsood, 2022; </w:t>
      </w:r>
      <w:r w:rsidR="00916EDF" w:rsidRPr="00721AE3">
        <w:rPr>
          <w:rFonts w:ascii="Times New Roman" w:hAnsi="Times New Roman" w:cs="Times New Roman"/>
          <w:sz w:val="24"/>
          <w:szCs w:val="24"/>
        </w:rPr>
        <w:t>D.</w:t>
      </w:r>
      <w:r w:rsidR="00E70DAE"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Liu et al., 2024). Understanding how </w:t>
      </w:r>
      <w:r w:rsidR="00497D2C" w:rsidRPr="00721AE3">
        <w:rPr>
          <w:rFonts w:ascii="Times New Roman" w:hAnsi="Times New Roman" w:cs="Times New Roman"/>
          <w:sz w:val="24"/>
          <w:szCs w:val="24"/>
        </w:rPr>
        <w:t>these</w:t>
      </w:r>
      <w:r w:rsidR="00EA79D0" w:rsidRPr="00721AE3">
        <w:rPr>
          <w:rFonts w:ascii="Times New Roman" w:hAnsi="Times New Roman" w:cs="Times New Roman"/>
          <w:sz w:val="24"/>
          <w:szCs w:val="24"/>
        </w:rPr>
        <w:t xml:space="preserve"> proximity</w:t>
      </w:r>
      <w:r w:rsidRPr="00721AE3">
        <w:rPr>
          <w:rFonts w:ascii="Times New Roman" w:hAnsi="Times New Roman" w:cs="Times New Roman"/>
          <w:sz w:val="24"/>
          <w:szCs w:val="24"/>
        </w:rPr>
        <w:t xml:space="preserve"> effects vary across distance is therefore essential for explaining housing price formation in compact urban environments.</w:t>
      </w:r>
    </w:p>
    <w:p w14:paraId="56F84226" w14:textId="68E607E1" w:rsidR="00E70941" w:rsidRPr="00721AE3" w:rsidRDefault="00D62967" w:rsidP="007A3AE3">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Conventional hedonic pricing models typically rely on linear, semi-log, or distance-band specifications, implicitly assuming smooth and monotonic relationships between distance and housing prices</w:t>
      </w:r>
      <w:r w:rsidR="000B7E0C" w:rsidRPr="00721AE3">
        <w:rPr>
          <w:rFonts w:ascii="Times New Roman" w:hAnsi="Times New Roman" w:cs="Times New Roman"/>
          <w:sz w:val="24"/>
          <w:szCs w:val="24"/>
        </w:rPr>
        <w:t xml:space="preserve"> (</w:t>
      </w:r>
      <w:r w:rsidR="00377E52" w:rsidRPr="00721AE3">
        <w:rPr>
          <w:rFonts w:ascii="Times New Roman" w:hAnsi="Times New Roman" w:cs="Times New Roman"/>
          <w:sz w:val="24"/>
          <w:szCs w:val="24"/>
        </w:rPr>
        <w:t>Rosen</w:t>
      </w:r>
      <w:r w:rsidR="00656584" w:rsidRPr="00721AE3">
        <w:rPr>
          <w:rFonts w:ascii="Times New Roman" w:hAnsi="Times New Roman" w:cs="Times New Roman"/>
          <w:sz w:val="24"/>
          <w:szCs w:val="24"/>
        </w:rPr>
        <w:t xml:space="preserve">, 1974; Malpezzi, 2002; </w:t>
      </w:r>
      <w:r w:rsidR="001D51B2" w:rsidRPr="00721AE3">
        <w:rPr>
          <w:rFonts w:ascii="Times New Roman" w:hAnsi="Times New Roman" w:cs="Times New Roman"/>
          <w:sz w:val="24"/>
          <w:szCs w:val="24"/>
        </w:rPr>
        <w:t>Seo et al., 2019</w:t>
      </w:r>
      <w:r w:rsidR="00F74A4F" w:rsidRPr="00721AE3">
        <w:rPr>
          <w:rFonts w:ascii="Times New Roman" w:hAnsi="Times New Roman" w:cs="Times New Roman"/>
          <w:sz w:val="24"/>
          <w:szCs w:val="24"/>
        </w:rPr>
        <w:t>)</w:t>
      </w:r>
      <w:r w:rsidRPr="00721AE3">
        <w:rPr>
          <w:rFonts w:ascii="Times New Roman" w:hAnsi="Times New Roman" w:cs="Times New Roman"/>
          <w:sz w:val="24"/>
          <w:szCs w:val="24"/>
        </w:rPr>
        <w:t>. However, such assumptions are increasingly inconsistent with empirical evidence.</w:t>
      </w:r>
      <w:r w:rsidR="007A3AE3" w:rsidRPr="00721AE3">
        <w:rPr>
          <w:rFonts w:ascii="Times New Roman" w:hAnsi="Times New Roman" w:cs="Times New Roman"/>
          <w:sz w:val="24"/>
          <w:szCs w:val="24"/>
        </w:rPr>
        <w:t xml:space="preserve"> Recent advances in spatial econometrics, such as Geographically Weighted Regression (GWR) and Multiscale GWR (MGWR), relax these assumptions by allowing model parameters to vary locally, thereby capturing spatial heterogeneity and non-stationarity (Páez et al., 2008; Huang et al., 2010; Fotheringham et al., 2017; Wu et al., 2019). However, </w:t>
      </w:r>
      <w:r w:rsidR="00FC70BA" w:rsidRPr="00721AE3">
        <w:rPr>
          <w:rFonts w:ascii="Times New Roman" w:hAnsi="Times New Roman" w:cs="Times New Roman"/>
          <w:sz w:val="24"/>
          <w:szCs w:val="24"/>
        </w:rPr>
        <w:t xml:space="preserve">they </w:t>
      </w:r>
      <w:r w:rsidR="007A3AE3" w:rsidRPr="00721AE3">
        <w:rPr>
          <w:rFonts w:ascii="Times New Roman" w:hAnsi="Times New Roman" w:cs="Times New Roman"/>
          <w:sz w:val="24"/>
          <w:szCs w:val="24"/>
        </w:rPr>
        <w:t xml:space="preserve">remain fundamentally parametric frameworks that require pre-specification of functional forms and are primarily designed to capture smoothly varying spatial processes. </w:t>
      </w:r>
      <w:r w:rsidR="00FF0113" w:rsidRPr="00721AE3">
        <w:rPr>
          <w:rFonts w:ascii="Times New Roman" w:hAnsi="Times New Roman" w:cs="Times New Roman"/>
          <w:sz w:val="24"/>
          <w:szCs w:val="24"/>
        </w:rPr>
        <w:t>Consequently, they are less well suited to capturing complex non-linear interactions, abrupt turning points, and heterogeneous threshold effects aris</w:t>
      </w:r>
      <w:r w:rsidR="0046649C" w:rsidRPr="00721AE3">
        <w:rPr>
          <w:rFonts w:ascii="Times New Roman" w:hAnsi="Times New Roman" w:cs="Times New Roman"/>
          <w:sz w:val="24"/>
          <w:szCs w:val="24"/>
        </w:rPr>
        <w:t>ing</w:t>
      </w:r>
      <w:r w:rsidR="00FF0113" w:rsidRPr="00721AE3">
        <w:rPr>
          <w:rFonts w:ascii="Times New Roman" w:hAnsi="Times New Roman" w:cs="Times New Roman"/>
          <w:sz w:val="24"/>
          <w:szCs w:val="24"/>
        </w:rPr>
        <w:t xml:space="preserve"> from multiple interacting urban amenities in hyper-dense environments</w:t>
      </w:r>
      <w:r w:rsidR="007A3AE3" w:rsidRPr="00721AE3">
        <w:rPr>
          <w:rFonts w:ascii="Times New Roman" w:hAnsi="Times New Roman" w:cs="Times New Roman"/>
          <w:sz w:val="24"/>
          <w:szCs w:val="24"/>
        </w:rPr>
        <w:t>.</w:t>
      </w:r>
      <w:r w:rsidRPr="00721AE3">
        <w:rPr>
          <w:rFonts w:ascii="Times New Roman" w:hAnsi="Times New Roman" w:cs="Times New Roman"/>
          <w:sz w:val="24"/>
          <w:szCs w:val="24"/>
        </w:rPr>
        <w:t xml:space="preserve"> </w:t>
      </w:r>
    </w:p>
    <w:p w14:paraId="5428C515" w14:textId="63DE2A11" w:rsidR="00D146C6" w:rsidRPr="00721AE3" w:rsidRDefault="000B3698" w:rsidP="00BA06E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Recent advances in machine learning provide a promising alternative for modeling housing prices without imposing restrictive functional-form assumptions</w:t>
      </w:r>
      <w:r w:rsidR="00B4300C" w:rsidRPr="00721AE3">
        <w:rPr>
          <w:rFonts w:ascii="Times New Roman" w:hAnsi="Times New Roman" w:cs="Times New Roman"/>
          <w:sz w:val="24"/>
          <w:szCs w:val="24"/>
        </w:rPr>
        <w:t xml:space="preserve">. Among these, eXtreme Gradient Boosting (XGBoost) has proven particularly effective because it flexibly models complex interactions while maintaining high predictive performance (Chen &amp; Guestrin, 2016).  </w:t>
      </w:r>
      <w:r w:rsidR="0098531E" w:rsidRPr="00721AE3">
        <w:rPr>
          <w:rFonts w:ascii="Times New Roman" w:hAnsi="Times New Roman" w:cs="Times New Roman"/>
          <w:sz w:val="24"/>
          <w:szCs w:val="24"/>
        </w:rPr>
        <w:t>Meanwhile</w:t>
      </w:r>
      <w:r w:rsidR="00B4300C" w:rsidRPr="00721AE3">
        <w:rPr>
          <w:rFonts w:ascii="Times New Roman" w:hAnsi="Times New Roman" w:cs="Times New Roman"/>
          <w:sz w:val="24"/>
          <w:szCs w:val="24"/>
        </w:rPr>
        <w:t>, explainable artificial intelligence (XAI) techniques, particularly Shapley Additive Explanations (SHAP) and Accumulated Local Effects (ALE), have substantially improved the interpretability of machine learning models by quantifying feature contributions and recovering continuous response functions (Lundberg &amp; Lee, 2017; Lundberg et al., 2018; Apley &amp; Zhu, 2020; Molnar, 2021). Together, these methods provide a transparent framework for identifying heterogeneous</w:t>
      </w:r>
      <w:r w:rsidR="0051386B" w:rsidRPr="00721AE3">
        <w:rPr>
          <w:rFonts w:ascii="Times New Roman" w:hAnsi="Times New Roman" w:cs="Times New Roman"/>
          <w:sz w:val="24"/>
          <w:szCs w:val="24"/>
        </w:rPr>
        <w:t>, non-linear</w:t>
      </w:r>
      <w:r w:rsidR="00A92433" w:rsidRPr="00721AE3">
        <w:rPr>
          <w:rFonts w:ascii="Times New Roman" w:hAnsi="Times New Roman" w:cs="Times New Roman"/>
          <w:sz w:val="24"/>
          <w:szCs w:val="24"/>
        </w:rPr>
        <w:t>,</w:t>
      </w:r>
      <w:r w:rsidR="00B4300C" w:rsidRPr="00721AE3">
        <w:rPr>
          <w:rFonts w:ascii="Times New Roman" w:hAnsi="Times New Roman" w:cs="Times New Roman"/>
          <w:sz w:val="24"/>
          <w:szCs w:val="24"/>
        </w:rPr>
        <w:t xml:space="preserve"> and threshold-dependent accessibility effects that are difficult to </w:t>
      </w:r>
      <w:r w:rsidR="00A92433" w:rsidRPr="00721AE3">
        <w:rPr>
          <w:rFonts w:ascii="Times New Roman" w:hAnsi="Times New Roman" w:cs="Times New Roman"/>
          <w:sz w:val="24"/>
          <w:szCs w:val="24"/>
        </w:rPr>
        <w:t>recover</w:t>
      </w:r>
      <w:r w:rsidR="00B4300C" w:rsidRPr="00721AE3">
        <w:rPr>
          <w:rFonts w:ascii="Times New Roman" w:hAnsi="Times New Roman" w:cs="Times New Roman"/>
          <w:sz w:val="24"/>
          <w:szCs w:val="24"/>
        </w:rPr>
        <w:t xml:space="preserve"> </w:t>
      </w:r>
      <w:r w:rsidR="002F41A4" w:rsidRPr="00721AE3">
        <w:rPr>
          <w:rFonts w:ascii="Times New Roman" w:hAnsi="Times New Roman" w:cs="Times New Roman"/>
          <w:sz w:val="24"/>
          <w:szCs w:val="24"/>
        </w:rPr>
        <w:t>using conventional hedonic and spatial econometric approaches</w:t>
      </w:r>
      <w:r w:rsidR="00B4300C" w:rsidRPr="00721AE3">
        <w:rPr>
          <w:rFonts w:ascii="Times New Roman" w:hAnsi="Times New Roman" w:cs="Times New Roman"/>
          <w:sz w:val="24"/>
          <w:szCs w:val="24"/>
        </w:rPr>
        <w:t>.</w:t>
      </w:r>
      <w:r w:rsidR="003A0B9E" w:rsidRPr="00721AE3">
        <w:rPr>
          <w:rFonts w:ascii="Times New Roman" w:hAnsi="Times New Roman" w:cs="Times New Roman"/>
          <w:sz w:val="24"/>
          <w:szCs w:val="24"/>
        </w:rPr>
        <w:t xml:space="preserve"> </w:t>
      </w:r>
      <w:r w:rsidR="00024491" w:rsidRPr="00721AE3">
        <w:rPr>
          <w:rFonts w:ascii="Times New Roman" w:hAnsi="Times New Roman" w:cs="Times New Roman"/>
          <w:sz w:val="24"/>
          <w:szCs w:val="24"/>
        </w:rPr>
        <w:t>Unlike GWR/MGWR, however, XGBoost and XAI methods do not explicitly model spatial dependence or spatially varying coefficients, and they cannot by themselves eliminate spatial confounding arising from omitted spatially structured factors. Their comparative advantage instead lies in flexibly recovering complex, non-linear, and threshold-dependent relationships without imposing a pre-specified functional form</w:t>
      </w:r>
      <w:r w:rsidR="00451035" w:rsidRPr="00721AE3">
        <w:rPr>
          <w:rFonts w:ascii="Times New Roman" w:hAnsi="Times New Roman" w:cs="Times New Roman"/>
          <w:sz w:val="24"/>
          <w:szCs w:val="24"/>
        </w:rPr>
        <w:t>.</w:t>
      </w:r>
    </w:p>
    <w:p w14:paraId="1D17D3D8" w14:textId="675B57F0" w:rsidR="004A3BCC" w:rsidRPr="00721AE3" w:rsidRDefault="006132DB" w:rsidP="00BA06E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Building on these methodological advances, recent studies have increasingly applied explainable machine learning to housing valuation (e.g., Chen et al., 2023; Dou et al., 2023; Chen et al., 2025; Lee et al., 2025).</w:t>
      </w:r>
      <w:r w:rsidR="00A8192D" w:rsidRPr="00721AE3">
        <w:rPr>
          <w:rFonts w:ascii="Times New Roman" w:hAnsi="Times New Roman" w:cs="Times New Roman"/>
          <w:sz w:val="24"/>
          <w:szCs w:val="24"/>
        </w:rPr>
        <w:t xml:space="preserve"> Lee et al. (2025), for example, demonstrate that SHAP can reveal complex non-linear distance</w:t>
      </w:r>
      <w:r w:rsidR="0016273F" w:rsidRPr="00721AE3">
        <w:rPr>
          <w:rFonts w:ascii="Times New Roman" w:hAnsi="Times New Roman" w:cs="Times New Roman"/>
          <w:sz w:val="24"/>
          <w:szCs w:val="24"/>
        </w:rPr>
        <w:t xml:space="preserve"> </w:t>
      </w:r>
      <w:r w:rsidR="00A8192D" w:rsidRPr="00721AE3">
        <w:rPr>
          <w:rFonts w:ascii="Times New Roman" w:hAnsi="Times New Roman" w:cs="Times New Roman"/>
          <w:sz w:val="24"/>
          <w:szCs w:val="24"/>
        </w:rPr>
        <w:t xml:space="preserve">decay relationships </w:t>
      </w:r>
      <w:r w:rsidR="006933E4" w:rsidRPr="00721AE3">
        <w:rPr>
          <w:rFonts w:ascii="Times New Roman" w:hAnsi="Times New Roman" w:cs="Times New Roman"/>
          <w:sz w:val="24"/>
          <w:szCs w:val="24"/>
        </w:rPr>
        <w:t xml:space="preserve">using straight-line distance </w:t>
      </w:r>
      <w:r w:rsidR="00A8192D" w:rsidRPr="00721AE3">
        <w:rPr>
          <w:rFonts w:ascii="Times New Roman" w:hAnsi="Times New Roman" w:cs="Times New Roman"/>
          <w:sz w:val="24"/>
          <w:szCs w:val="24"/>
        </w:rPr>
        <w:t>that are not captured by traditional hedonic models. However, whether these relationships remain valid in hyper-dense urban environments characterized by extreme land scarcity, vertical development, and highly interconnected pedestrian networks</w:t>
      </w:r>
      <w:r w:rsidR="00141D84" w:rsidRPr="00721AE3">
        <w:rPr>
          <w:rFonts w:ascii="Times New Roman" w:hAnsi="Times New Roman" w:cs="Times New Roman"/>
          <w:sz w:val="24"/>
          <w:szCs w:val="24"/>
        </w:rPr>
        <w:t>,</w:t>
      </w:r>
      <w:r w:rsidR="00A8192D" w:rsidRPr="00721AE3">
        <w:rPr>
          <w:rFonts w:ascii="Times New Roman" w:hAnsi="Times New Roman" w:cs="Times New Roman"/>
          <w:sz w:val="24"/>
          <w:szCs w:val="24"/>
        </w:rPr>
        <w:t xml:space="preserve"> </w:t>
      </w:r>
      <w:r w:rsidR="00141D84" w:rsidRPr="00721AE3">
        <w:rPr>
          <w:rFonts w:ascii="Times New Roman" w:hAnsi="Times New Roman" w:cs="Times New Roman"/>
          <w:sz w:val="24"/>
          <w:szCs w:val="24"/>
        </w:rPr>
        <w:t xml:space="preserve">and </w:t>
      </w:r>
      <w:r w:rsidR="00D74D2F" w:rsidRPr="00721AE3">
        <w:rPr>
          <w:rFonts w:ascii="Times New Roman" w:hAnsi="Times New Roman" w:cs="Times New Roman"/>
          <w:sz w:val="24"/>
          <w:szCs w:val="24"/>
        </w:rPr>
        <w:t xml:space="preserve">whether they persist when accessibility is measured using </w:t>
      </w:r>
      <w:r w:rsidR="00D74D2F" w:rsidRPr="00721AE3">
        <w:rPr>
          <w:rFonts w:ascii="Times New Roman" w:hAnsi="Times New Roman" w:cs="Times New Roman"/>
          <w:sz w:val="24"/>
          <w:szCs w:val="24"/>
        </w:rPr>
        <w:lastRenderedPageBreak/>
        <w:t>pedestrian walking network distance rather than Euclidean distance</w:t>
      </w:r>
      <w:r w:rsidR="00141D84" w:rsidRPr="00721AE3">
        <w:rPr>
          <w:rFonts w:ascii="Times New Roman" w:hAnsi="Times New Roman" w:cs="Times New Roman"/>
          <w:sz w:val="24"/>
          <w:szCs w:val="24"/>
        </w:rPr>
        <w:t>,</w:t>
      </w:r>
      <w:r w:rsidR="00DA0975" w:rsidRPr="00721AE3">
        <w:rPr>
          <w:rFonts w:ascii="Times New Roman" w:hAnsi="Times New Roman" w:cs="Times New Roman"/>
          <w:sz w:val="24"/>
          <w:szCs w:val="24"/>
        </w:rPr>
        <w:t xml:space="preserve"> </w:t>
      </w:r>
      <w:r w:rsidR="00A8192D" w:rsidRPr="00721AE3">
        <w:rPr>
          <w:rFonts w:ascii="Times New Roman" w:hAnsi="Times New Roman" w:cs="Times New Roman"/>
          <w:sz w:val="24"/>
          <w:szCs w:val="24"/>
        </w:rPr>
        <w:t>remains largely unexplored. Hong Kong provides an ideal setting to address this question because its unique urban morphology is likely to compress accessibility benefits and localized externalities into much shorter and more heterogeneous spatial ranges than those observed in lower-density cities.</w:t>
      </w:r>
    </w:p>
    <w:p w14:paraId="086DB1DA" w14:textId="73AAB8B7" w:rsidR="00B34ED3" w:rsidRPr="00721AE3" w:rsidRDefault="00DB1F28" w:rsidP="00BA06E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Despite recent</w:t>
      </w:r>
      <w:r w:rsidR="0057011A" w:rsidRPr="00721AE3">
        <w:rPr>
          <w:rFonts w:ascii="Times New Roman" w:hAnsi="Times New Roman" w:cs="Times New Roman"/>
          <w:sz w:val="24"/>
          <w:szCs w:val="24"/>
        </w:rPr>
        <w:t xml:space="preserve"> progress</w:t>
      </w:r>
      <w:r w:rsidR="00D94EBE" w:rsidRPr="00721AE3">
        <w:rPr>
          <w:rFonts w:ascii="Times New Roman" w:hAnsi="Times New Roman" w:cs="Times New Roman"/>
          <w:sz w:val="24"/>
          <w:szCs w:val="24"/>
        </w:rPr>
        <w:t xml:space="preserve">, several </w:t>
      </w:r>
      <w:r w:rsidR="00C80900" w:rsidRPr="00721AE3">
        <w:rPr>
          <w:rFonts w:ascii="Times New Roman" w:hAnsi="Times New Roman" w:cs="Times New Roman"/>
          <w:sz w:val="24"/>
          <w:szCs w:val="24"/>
        </w:rPr>
        <w:t>important research</w:t>
      </w:r>
      <w:r w:rsidR="00D94EBE" w:rsidRPr="00721AE3">
        <w:rPr>
          <w:rFonts w:ascii="Times New Roman" w:hAnsi="Times New Roman" w:cs="Times New Roman"/>
          <w:sz w:val="24"/>
          <w:szCs w:val="24"/>
        </w:rPr>
        <w:t xml:space="preserve"> gaps remain.</w:t>
      </w:r>
      <w:r w:rsidR="00606081" w:rsidRPr="00721AE3">
        <w:rPr>
          <w:rFonts w:ascii="Times New Roman" w:hAnsi="Times New Roman" w:cs="Times New Roman"/>
          <w:sz w:val="24"/>
          <w:szCs w:val="24"/>
        </w:rPr>
        <w:t xml:space="preserve"> </w:t>
      </w:r>
      <w:r w:rsidR="00054DB2" w:rsidRPr="00721AE3">
        <w:rPr>
          <w:rFonts w:ascii="Times New Roman" w:hAnsi="Times New Roman" w:cs="Times New Roman"/>
          <w:sz w:val="24"/>
          <w:szCs w:val="24"/>
        </w:rPr>
        <w:t xml:space="preserve">First, most </w:t>
      </w:r>
      <w:r w:rsidR="00574F9A" w:rsidRPr="00721AE3">
        <w:rPr>
          <w:rFonts w:ascii="Times New Roman" w:hAnsi="Times New Roman" w:cs="Times New Roman"/>
          <w:sz w:val="24"/>
          <w:szCs w:val="24"/>
        </w:rPr>
        <w:t xml:space="preserve">existing </w:t>
      </w:r>
      <w:r w:rsidR="005574BB" w:rsidRPr="00721AE3">
        <w:rPr>
          <w:rFonts w:ascii="Times New Roman" w:hAnsi="Times New Roman" w:cs="Times New Roman"/>
          <w:sz w:val="24"/>
          <w:szCs w:val="24"/>
        </w:rPr>
        <w:t xml:space="preserve">studies </w:t>
      </w:r>
      <w:r w:rsidR="00501295" w:rsidRPr="00721AE3">
        <w:rPr>
          <w:rFonts w:ascii="Times New Roman" w:hAnsi="Times New Roman" w:cs="Times New Roman"/>
          <w:sz w:val="24"/>
          <w:szCs w:val="24"/>
        </w:rPr>
        <w:t xml:space="preserve">examine </w:t>
      </w:r>
      <w:r w:rsidR="00054DB2" w:rsidRPr="00721AE3">
        <w:rPr>
          <w:rFonts w:ascii="Times New Roman" w:hAnsi="Times New Roman" w:cs="Times New Roman"/>
          <w:sz w:val="24"/>
          <w:szCs w:val="24"/>
        </w:rPr>
        <w:t>individual amenity categories</w:t>
      </w:r>
      <w:r w:rsidR="00321DA7" w:rsidRPr="00721AE3">
        <w:rPr>
          <w:rFonts w:ascii="Times New Roman" w:hAnsi="Times New Roman" w:cs="Times New Roman"/>
          <w:sz w:val="24"/>
          <w:szCs w:val="24"/>
        </w:rPr>
        <w:t xml:space="preserve"> in isolation </w:t>
      </w:r>
      <w:r w:rsidR="00501295" w:rsidRPr="00721AE3">
        <w:rPr>
          <w:rFonts w:ascii="Times New Roman" w:hAnsi="Times New Roman" w:cs="Times New Roman"/>
          <w:sz w:val="24"/>
          <w:szCs w:val="24"/>
        </w:rPr>
        <w:t>rather</w:t>
      </w:r>
      <w:r w:rsidR="00413BDA" w:rsidRPr="00721AE3">
        <w:rPr>
          <w:rFonts w:ascii="Times New Roman" w:hAnsi="Times New Roman" w:cs="Times New Roman"/>
          <w:sz w:val="24"/>
          <w:szCs w:val="24"/>
        </w:rPr>
        <w:t xml:space="preserve"> than</w:t>
      </w:r>
      <w:r w:rsidR="00321DA7" w:rsidRPr="00721AE3">
        <w:rPr>
          <w:rFonts w:ascii="Times New Roman" w:hAnsi="Times New Roman" w:cs="Times New Roman"/>
          <w:sz w:val="24"/>
          <w:szCs w:val="24"/>
        </w:rPr>
        <w:t xml:space="preserve"> systematically compar</w:t>
      </w:r>
      <w:r w:rsidR="00413BDA" w:rsidRPr="00721AE3">
        <w:rPr>
          <w:rFonts w:ascii="Times New Roman" w:hAnsi="Times New Roman" w:cs="Times New Roman"/>
          <w:sz w:val="24"/>
          <w:szCs w:val="24"/>
        </w:rPr>
        <w:t>ing</w:t>
      </w:r>
      <w:r w:rsidR="005460C8" w:rsidRPr="00721AE3">
        <w:rPr>
          <w:rFonts w:ascii="Times New Roman" w:hAnsi="Times New Roman" w:cs="Times New Roman"/>
          <w:sz w:val="24"/>
          <w:szCs w:val="24"/>
        </w:rPr>
        <w:t xml:space="preserve"> how </w:t>
      </w:r>
      <w:r w:rsidR="000E0AF9" w:rsidRPr="00721AE3">
        <w:rPr>
          <w:rFonts w:ascii="Times New Roman" w:hAnsi="Times New Roman" w:cs="Times New Roman"/>
          <w:sz w:val="24"/>
          <w:szCs w:val="24"/>
        </w:rPr>
        <w:t>multiple</w:t>
      </w:r>
      <w:r w:rsidR="005460C8" w:rsidRPr="00721AE3">
        <w:rPr>
          <w:rFonts w:ascii="Times New Roman" w:hAnsi="Times New Roman" w:cs="Times New Roman"/>
          <w:sz w:val="24"/>
          <w:szCs w:val="24"/>
        </w:rPr>
        <w:t xml:space="preserve"> urban </w:t>
      </w:r>
      <w:r w:rsidR="00A50DE0" w:rsidRPr="00721AE3">
        <w:rPr>
          <w:rFonts w:ascii="Times New Roman" w:hAnsi="Times New Roman" w:cs="Times New Roman"/>
          <w:sz w:val="24"/>
          <w:szCs w:val="24"/>
        </w:rPr>
        <w:t>amenities</w:t>
      </w:r>
      <w:r w:rsidR="005460C8" w:rsidRPr="00721AE3">
        <w:rPr>
          <w:rFonts w:ascii="Times New Roman" w:hAnsi="Times New Roman" w:cs="Times New Roman"/>
          <w:sz w:val="24"/>
          <w:szCs w:val="24"/>
        </w:rPr>
        <w:t xml:space="preserve"> jointly </w:t>
      </w:r>
      <w:r w:rsidR="000E0AF9" w:rsidRPr="00721AE3">
        <w:rPr>
          <w:rFonts w:ascii="Times New Roman" w:hAnsi="Times New Roman" w:cs="Times New Roman"/>
          <w:sz w:val="24"/>
          <w:szCs w:val="24"/>
        </w:rPr>
        <w:t xml:space="preserve">influence </w:t>
      </w:r>
      <w:r w:rsidR="005460C8" w:rsidRPr="00721AE3">
        <w:rPr>
          <w:rFonts w:ascii="Times New Roman" w:hAnsi="Times New Roman" w:cs="Times New Roman"/>
          <w:sz w:val="24"/>
          <w:szCs w:val="24"/>
        </w:rPr>
        <w:t xml:space="preserve">housing prices within a unified </w:t>
      </w:r>
      <w:r w:rsidR="005758DE" w:rsidRPr="00721AE3">
        <w:rPr>
          <w:rFonts w:ascii="Times New Roman" w:hAnsi="Times New Roman" w:cs="Times New Roman"/>
          <w:sz w:val="24"/>
          <w:szCs w:val="24"/>
        </w:rPr>
        <w:t xml:space="preserve">analytical </w:t>
      </w:r>
      <w:r w:rsidR="005460C8" w:rsidRPr="00721AE3">
        <w:rPr>
          <w:rFonts w:ascii="Times New Roman" w:hAnsi="Times New Roman" w:cs="Times New Roman"/>
          <w:sz w:val="24"/>
          <w:szCs w:val="24"/>
        </w:rPr>
        <w:t>framework</w:t>
      </w:r>
      <w:r w:rsidR="0061625D" w:rsidRPr="00721AE3">
        <w:rPr>
          <w:rFonts w:ascii="Times New Roman" w:hAnsi="Times New Roman" w:cs="Times New Roman"/>
          <w:sz w:val="24"/>
          <w:szCs w:val="24"/>
        </w:rPr>
        <w:t xml:space="preserve">, </w:t>
      </w:r>
      <w:r w:rsidR="00160C0F" w:rsidRPr="00721AE3">
        <w:rPr>
          <w:rFonts w:ascii="Times New Roman" w:hAnsi="Times New Roman" w:cs="Times New Roman"/>
          <w:sz w:val="24"/>
          <w:szCs w:val="24"/>
        </w:rPr>
        <w:t>particularly in hyper-dense urban systems</w:t>
      </w:r>
      <w:r w:rsidR="005460C8" w:rsidRPr="00721AE3">
        <w:rPr>
          <w:rFonts w:ascii="Times New Roman" w:hAnsi="Times New Roman" w:cs="Times New Roman"/>
          <w:sz w:val="24"/>
          <w:szCs w:val="24"/>
        </w:rPr>
        <w:t>.</w:t>
      </w:r>
      <w:r w:rsidR="00AB449F" w:rsidRPr="00721AE3">
        <w:rPr>
          <w:rFonts w:ascii="Times New Roman" w:hAnsi="Times New Roman" w:cs="Times New Roman"/>
          <w:sz w:val="24"/>
          <w:szCs w:val="24"/>
        </w:rPr>
        <w:t xml:space="preserve"> </w:t>
      </w:r>
      <w:r w:rsidR="00566078" w:rsidRPr="00721AE3">
        <w:rPr>
          <w:rFonts w:ascii="Times New Roman" w:hAnsi="Times New Roman" w:cs="Times New Roman"/>
          <w:sz w:val="24"/>
          <w:szCs w:val="24"/>
        </w:rPr>
        <w:t>Second, accessibility is commonly measured using buffer-based indicators (e.g., counts or densities within predefined areas)</w:t>
      </w:r>
      <w:r w:rsidR="00600C86" w:rsidRPr="00721AE3">
        <w:rPr>
          <w:rFonts w:ascii="Times New Roman" w:hAnsi="Times New Roman" w:cs="Times New Roman"/>
          <w:sz w:val="24"/>
          <w:szCs w:val="24"/>
        </w:rPr>
        <w:t xml:space="preserve"> (e.g., Chen et al., 2023; Dou et al., 2023)</w:t>
      </w:r>
      <w:r w:rsidR="00566078" w:rsidRPr="00721AE3">
        <w:rPr>
          <w:rFonts w:ascii="Times New Roman" w:hAnsi="Times New Roman" w:cs="Times New Roman"/>
          <w:sz w:val="24"/>
          <w:szCs w:val="24"/>
        </w:rPr>
        <w:t xml:space="preserve"> or straight-line (Euclidean) distance (e.g.,</w:t>
      </w:r>
      <w:r w:rsidR="00600C86" w:rsidRPr="00721AE3">
        <w:rPr>
          <w:rFonts w:ascii="Times New Roman" w:hAnsi="Times New Roman" w:cs="Times New Roman"/>
          <w:sz w:val="24"/>
          <w:szCs w:val="24"/>
        </w:rPr>
        <w:t xml:space="preserve"> Chen et al., 2025; </w:t>
      </w:r>
      <w:r w:rsidR="00566078" w:rsidRPr="00721AE3">
        <w:rPr>
          <w:rFonts w:ascii="Times New Roman" w:hAnsi="Times New Roman" w:cs="Times New Roman"/>
          <w:sz w:val="24"/>
          <w:szCs w:val="24"/>
        </w:rPr>
        <w:t xml:space="preserve">Lee et al., 2025), </w:t>
      </w:r>
      <w:r w:rsidR="007A5092" w:rsidRPr="00721AE3">
        <w:rPr>
          <w:rFonts w:ascii="Times New Roman" w:hAnsi="Times New Roman" w:cs="Times New Roman"/>
          <w:sz w:val="24"/>
          <w:szCs w:val="24"/>
        </w:rPr>
        <w:t xml:space="preserve">both of </w:t>
      </w:r>
      <w:r w:rsidR="00566078" w:rsidRPr="00721AE3">
        <w:rPr>
          <w:rFonts w:ascii="Times New Roman" w:hAnsi="Times New Roman" w:cs="Times New Roman"/>
          <w:sz w:val="24"/>
          <w:szCs w:val="24"/>
        </w:rPr>
        <w:t>which may inadequately represent actual pedestrian accessibility</w:t>
      </w:r>
      <w:r w:rsidR="00721793" w:rsidRPr="00721AE3">
        <w:rPr>
          <w:rFonts w:ascii="Times New Roman" w:hAnsi="Times New Roman" w:cs="Times New Roman"/>
          <w:sz w:val="24"/>
          <w:szCs w:val="24"/>
        </w:rPr>
        <w:t xml:space="preserve"> </w:t>
      </w:r>
      <w:r w:rsidR="00566078" w:rsidRPr="00721AE3">
        <w:rPr>
          <w:rFonts w:ascii="Times New Roman" w:hAnsi="Times New Roman" w:cs="Times New Roman"/>
          <w:sz w:val="24"/>
          <w:szCs w:val="24"/>
        </w:rPr>
        <w:t>in complex urban environments such as Hong Kong.</w:t>
      </w:r>
      <w:r w:rsidR="0068433E" w:rsidRPr="00721AE3">
        <w:rPr>
          <w:rFonts w:ascii="Times New Roman" w:hAnsi="Times New Roman" w:cs="Times New Roman"/>
          <w:sz w:val="24"/>
          <w:szCs w:val="24"/>
        </w:rPr>
        <w:t xml:space="preserve"> </w:t>
      </w:r>
      <w:r w:rsidR="006557BE" w:rsidRPr="00721AE3">
        <w:rPr>
          <w:rFonts w:ascii="Times New Roman" w:hAnsi="Times New Roman" w:cs="Times New Roman"/>
          <w:sz w:val="24"/>
          <w:szCs w:val="24"/>
        </w:rPr>
        <w:t xml:space="preserve">Third, </w:t>
      </w:r>
      <w:r w:rsidR="00E63110" w:rsidRPr="00721AE3">
        <w:rPr>
          <w:rFonts w:ascii="Times New Roman" w:hAnsi="Times New Roman" w:cs="Times New Roman"/>
          <w:sz w:val="24"/>
          <w:szCs w:val="24"/>
        </w:rPr>
        <w:t xml:space="preserve">much of the literature </w:t>
      </w:r>
      <w:r w:rsidR="00BE39E6" w:rsidRPr="00721AE3">
        <w:rPr>
          <w:rFonts w:ascii="Times New Roman" w:hAnsi="Times New Roman" w:cs="Times New Roman"/>
          <w:sz w:val="24"/>
          <w:szCs w:val="24"/>
        </w:rPr>
        <w:t xml:space="preserve">emphasizes </w:t>
      </w:r>
      <w:r w:rsidR="00E63110" w:rsidRPr="00721AE3">
        <w:rPr>
          <w:rFonts w:ascii="Times New Roman" w:hAnsi="Times New Roman" w:cs="Times New Roman"/>
          <w:sz w:val="24"/>
          <w:szCs w:val="24"/>
        </w:rPr>
        <w:t xml:space="preserve">predictive performance or feature importance </w:t>
      </w:r>
      <w:r w:rsidR="00BE39E6" w:rsidRPr="00721AE3">
        <w:rPr>
          <w:rFonts w:ascii="Times New Roman" w:hAnsi="Times New Roman" w:cs="Times New Roman"/>
          <w:sz w:val="24"/>
          <w:szCs w:val="24"/>
        </w:rPr>
        <w:t>while</w:t>
      </w:r>
      <w:r w:rsidR="00E63110" w:rsidRPr="00721AE3">
        <w:rPr>
          <w:rFonts w:ascii="Times New Roman" w:hAnsi="Times New Roman" w:cs="Times New Roman"/>
          <w:sz w:val="24"/>
          <w:szCs w:val="24"/>
        </w:rPr>
        <w:t xml:space="preserve"> </w:t>
      </w:r>
      <w:r w:rsidR="00BE39E6" w:rsidRPr="00721AE3">
        <w:rPr>
          <w:rFonts w:ascii="Times New Roman" w:hAnsi="Times New Roman" w:cs="Times New Roman"/>
          <w:sz w:val="24"/>
          <w:szCs w:val="24"/>
        </w:rPr>
        <w:t>devoting</w:t>
      </w:r>
      <w:r w:rsidR="00E63110" w:rsidRPr="00721AE3">
        <w:rPr>
          <w:rFonts w:ascii="Times New Roman" w:hAnsi="Times New Roman" w:cs="Times New Roman"/>
          <w:sz w:val="24"/>
          <w:szCs w:val="24"/>
        </w:rPr>
        <w:t xml:space="preserve"> limited attention to recovering continuous and interpretable distance-response functions that reveal amenity-specific thresholds and turning points </w:t>
      </w:r>
      <w:r w:rsidR="00CD119B" w:rsidRPr="00721AE3">
        <w:rPr>
          <w:rFonts w:ascii="Times New Roman" w:hAnsi="Times New Roman" w:cs="Times New Roman"/>
          <w:sz w:val="24"/>
          <w:szCs w:val="24"/>
        </w:rPr>
        <w:t>(e.g., Chen et al., 2023</w:t>
      </w:r>
      <w:r w:rsidR="00E63110" w:rsidRPr="00721AE3">
        <w:rPr>
          <w:rFonts w:ascii="Times New Roman" w:hAnsi="Times New Roman" w:cs="Times New Roman"/>
          <w:sz w:val="24"/>
          <w:szCs w:val="24"/>
        </w:rPr>
        <w:t>; Dou et al., 2023</w:t>
      </w:r>
      <w:r w:rsidR="00CD119B" w:rsidRPr="00721AE3">
        <w:rPr>
          <w:rFonts w:ascii="Times New Roman" w:hAnsi="Times New Roman" w:cs="Times New Roman"/>
          <w:sz w:val="24"/>
          <w:szCs w:val="24"/>
        </w:rPr>
        <w:t>)</w:t>
      </w:r>
      <w:r w:rsidR="00325599" w:rsidRPr="00721AE3">
        <w:rPr>
          <w:rFonts w:ascii="Times New Roman" w:hAnsi="Times New Roman" w:cs="Times New Roman"/>
          <w:sz w:val="24"/>
          <w:szCs w:val="24"/>
        </w:rPr>
        <w:t xml:space="preserve">. </w:t>
      </w:r>
      <w:r w:rsidR="00F42583" w:rsidRPr="00721AE3">
        <w:rPr>
          <w:rFonts w:ascii="Times New Roman" w:hAnsi="Times New Roman" w:cs="Times New Roman"/>
          <w:sz w:val="24"/>
          <w:szCs w:val="24"/>
        </w:rPr>
        <w:t xml:space="preserve">Finally, empirical evidence from hyper-dense cities </w:t>
      </w:r>
      <w:r w:rsidR="00EA4DC4" w:rsidRPr="00721AE3">
        <w:rPr>
          <w:rFonts w:ascii="Times New Roman" w:hAnsi="Times New Roman" w:cs="Times New Roman"/>
          <w:sz w:val="24"/>
          <w:szCs w:val="24"/>
        </w:rPr>
        <w:t xml:space="preserve">such as Hong Kong </w:t>
      </w:r>
      <w:r w:rsidR="00F42583" w:rsidRPr="00721AE3">
        <w:rPr>
          <w:rFonts w:ascii="Times New Roman" w:hAnsi="Times New Roman" w:cs="Times New Roman"/>
          <w:sz w:val="24"/>
          <w:szCs w:val="24"/>
        </w:rPr>
        <w:t>remains scarce, despite the likelihood that extreme density, vertical urban form, and mixed land use fundamentally alter accessibility capitalization mechanisms.</w:t>
      </w:r>
    </w:p>
    <w:p w14:paraId="238975D0" w14:textId="2E68A071" w:rsidR="000F012F" w:rsidRPr="00721AE3" w:rsidRDefault="007D065E" w:rsidP="004D1E7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To address these </w:t>
      </w:r>
      <w:r w:rsidR="000F2C0D" w:rsidRPr="00721AE3">
        <w:rPr>
          <w:rFonts w:ascii="Times New Roman" w:hAnsi="Times New Roman" w:cs="Times New Roman"/>
          <w:sz w:val="24"/>
          <w:szCs w:val="24"/>
        </w:rPr>
        <w:t>gaps</w:t>
      </w:r>
      <w:r w:rsidRPr="00721AE3">
        <w:rPr>
          <w:rFonts w:ascii="Times New Roman" w:hAnsi="Times New Roman" w:cs="Times New Roman"/>
          <w:sz w:val="24"/>
          <w:szCs w:val="24"/>
        </w:rPr>
        <w:t xml:space="preserve">, this study </w:t>
      </w:r>
      <w:r w:rsidR="00A67C6C" w:rsidRPr="00721AE3">
        <w:rPr>
          <w:rFonts w:ascii="Times New Roman" w:hAnsi="Times New Roman" w:cs="Times New Roman"/>
          <w:sz w:val="24"/>
          <w:szCs w:val="24"/>
        </w:rPr>
        <w:t>analyzes</w:t>
      </w:r>
      <w:r w:rsidR="001030C7" w:rsidRPr="00721AE3">
        <w:rPr>
          <w:rFonts w:ascii="Times New Roman" w:hAnsi="Times New Roman" w:cs="Times New Roman"/>
          <w:sz w:val="24"/>
          <w:szCs w:val="24"/>
        </w:rPr>
        <w:t xml:space="preserve"> a large-scale dataset of </w:t>
      </w:r>
      <w:r w:rsidR="000657F7" w:rsidRPr="00721AE3">
        <w:rPr>
          <w:rFonts w:ascii="Times New Roman" w:hAnsi="Times New Roman" w:cs="Times New Roman"/>
          <w:sz w:val="24"/>
          <w:szCs w:val="24"/>
        </w:rPr>
        <w:t>722,244</w:t>
      </w:r>
      <w:r w:rsidR="001030C7" w:rsidRPr="00721AE3">
        <w:rPr>
          <w:rFonts w:ascii="Times New Roman" w:hAnsi="Times New Roman" w:cs="Times New Roman"/>
          <w:sz w:val="24"/>
          <w:szCs w:val="24"/>
        </w:rPr>
        <w:t xml:space="preserve"> housing transactions in Hong Kong </w:t>
      </w:r>
      <w:r w:rsidR="00621F10" w:rsidRPr="00721AE3">
        <w:rPr>
          <w:rFonts w:ascii="Times New Roman" w:hAnsi="Times New Roman" w:cs="Times New Roman"/>
          <w:sz w:val="24"/>
          <w:szCs w:val="24"/>
        </w:rPr>
        <w:t xml:space="preserve">between </w:t>
      </w:r>
      <w:r w:rsidR="001030C7" w:rsidRPr="00721AE3">
        <w:rPr>
          <w:rFonts w:ascii="Times New Roman" w:hAnsi="Times New Roman" w:cs="Times New Roman"/>
          <w:sz w:val="24"/>
          <w:szCs w:val="24"/>
        </w:rPr>
        <w:t>2012</w:t>
      </w:r>
      <w:r w:rsidR="00621F10" w:rsidRPr="00721AE3">
        <w:rPr>
          <w:rFonts w:ascii="Times New Roman" w:hAnsi="Times New Roman" w:cs="Times New Roman"/>
          <w:sz w:val="24"/>
          <w:szCs w:val="24"/>
        </w:rPr>
        <w:t xml:space="preserve"> and </w:t>
      </w:r>
      <w:r w:rsidR="001030C7" w:rsidRPr="00721AE3">
        <w:rPr>
          <w:rFonts w:ascii="Times New Roman" w:hAnsi="Times New Roman" w:cs="Times New Roman"/>
          <w:sz w:val="24"/>
          <w:szCs w:val="24"/>
        </w:rPr>
        <w:t xml:space="preserve">2020 </w:t>
      </w:r>
      <w:r w:rsidR="00621F10" w:rsidRPr="00721AE3">
        <w:rPr>
          <w:rFonts w:ascii="Times New Roman" w:hAnsi="Times New Roman" w:cs="Times New Roman"/>
          <w:sz w:val="24"/>
          <w:szCs w:val="24"/>
        </w:rPr>
        <w:t xml:space="preserve">by integrating </w:t>
      </w:r>
      <w:r w:rsidR="001030C7" w:rsidRPr="00721AE3">
        <w:rPr>
          <w:rFonts w:ascii="Times New Roman" w:hAnsi="Times New Roman" w:cs="Times New Roman"/>
          <w:sz w:val="24"/>
          <w:szCs w:val="24"/>
        </w:rPr>
        <w:t xml:space="preserve">XGBoost </w:t>
      </w:r>
      <w:r w:rsidR="007271C8" w:rsidRPr="00721AE3">
        <w:rPr>
          <w:rFonts w:ascii="Times New Roman" w:hAnsi="Times New Roman" w:cs="Times New Roman"/>
          <w:sz w:val="24"/>
          <w:szCs w:val="24"/>
        </w:rPr>
        <w:t xml:space="preserve">with </w:t>
      </w:r>
      <w:r w:rsidRPr="00721AE3">
        <w:rPr>
          <w:rFonts w:ascii="Times New Roman" w:hAnsi="Times New Roman" w:cs="Times New Roman"/>
          <w:sz w:val="24"/>
          <w:szCs w:val="24"/>
        </w:rPr>
        <w:t xml:space="preserve">two </w:t>
      </w:r>
      <w:r w:rsidR="00567309" w:rsidRPr="00721AE3">
        <w:rPr>
          <w:rFonts w:ascii="Times New Roman" w:hAnsi="Times New Roman" w:cs="Times New Roman"/>
          <w:sz w:val="24"/>
          <w:szCs w:val="24"/>
        </w:rPr>
        <w:t xml:space="preserve">complementary </w:t>
      </w:r>
      <w:r w:rsidR="001030C7" w:rsidRPr="00721AE3">
        <w:rPr>
          <w:rFonts w:ascii="Times New Roman" w:hAnsi="Times New Roman" w:cs="Times New Roman"/>
          <w:sz w:val="24"/>
          <w:szCs w:val="24"/>
        </w:rPr>
        <w:t xml:space="preserve">explainable </w:t>
      </w:r>
      <w:r w:rsidR="000F03DF" w:rsidRPr="00721AE3">
        <w:rPr>
          <w:rFonts w:ascii="Times New Roman" w:hAnsi="Times New Roman" w:cs="Times New Roman"/>
          <w:sz w:val="24"/>
          <w:szCs w:val="24"/>
        </w:rPr>
        <w:t xml:space="preserve">artificial intelligence </w:t>
      </w:r>
      <w:r w:rsidR="001030C7" w:rsidRPr="00721AE3">
        <w:rPr>
          <w:rFonts w:ascii="Times New Roman" w:hAnsi="Times New Roman" w:cs="Times New Roman"/>
          <w:sz w:val="24"/>
          <w:szCs w:val="24"/>
        </w:rPr>
        <w:t>techniques (SHAP and ALE) to examine how urban amenities are capitalized into housing prices</w:t>
      </w:r>
      <w:r w:rsidR="00736FE0" w:rsidRPr="00721AE3">
        <w:rPr>
          <w:rFonts w:ascii="Times New Roman" w:hAnsi="Times New Roman" w:cs="Times New Roman"/>
          <w:sz w:val="24"/>
          <w:szCs w:val="24"/>
        </w:rPr>
        <w:t xml:space="preserve"> using pedestrian walking network distance.</w:t>
      </w:r>
      <w:r w:rsidR="003C1FC5" w:rsidRPr="00721AE3">
        <w:rPr>
          <w:rFonts w:ascii="Times New Roman" w:hAnsi="Times New Roman" w:cs="Times New Roman"/>
          <w:sz w:val="24"/>
          <w:szCs w:val="24"/>
        </w:rPr>
        <w:t xml:space="preserve"> </w:t>
      </w:r>
    </w:p>
    <w:p w14:paraId="7616A191" w14:textId="214B7FB1" w:rsidR="00712334" w:rsidRPr="00721AE3" w:rsidRDefault="00DC3D27" w:rsidP="004D1E7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T</w:t>
      </w:r>
      <w:r w:rsidR="00E8405D" w:rsidRPr="00721AE3">
        <w:rPr>
          <w:rFonts w:ascii="Times New Roman" w:hAnsi="Times New Roman" w:cs="Times New Roman"/>
          <w:sz w:val="24"/>
          <w:szCs w:val="24"/>
        </w:rPr>
        <w:t>his study makes four main contributions</w:t>
      </w:r>
      <w:r w:rsidR="001E1A5C" w:rsidRPr="00721AE3">
        <w:rPr>
          <w:rFonts w:ascii="Times New Roman" w:hAnsi="Times New Roman" w:cs="Times New Roman"/>
          <w:sz w:val="24"/>
          <w:szCs w:val="24"/>
        </w:rPr>
        <w:t xml:space="preserve">. First, it provides new </w:t>
      </w:r>
      <w:r w:rsidR="00E8405D" w:rsidRPr="00721AE3">
        <w:rPr>
          <w:rFonts w:ascii="Times New Roman" w:hAnsi="Times New Roman" w:cs="Times New Roman"/>
          <w:sz w:val="24"/>
          <w:szCs w:val="24"/>
        </w:rPr>
        <w:t xml:space="preserve">empirical </w:t>
      </w:r>
      <w:r w:rsidR="001E1A5C" w:rsidRPr="00721AE3">
        <w:rPr>
          <w:rFonts w:ascii="Times New Roman" w:hAnsi="Times New Roman" w:cs="Times New Roman"/>
          <w:sz w:val="24"/>
          <w:szCs w:val="24"/>
        </w:rPr>
        <w:t xml:space="preserve">evidence on amenity capitalization in one of the world’s most </w:t>
      </w:r>
      <w:r w:rsidR="002F6B15" w:rsidRPr="00721AE3">
        <w:rPr>
          <w:rFonts w:ascii="Times New Roman" w:hAnsi="Times New Roman" w:cs="Times New Roman"/>
          <w:sz w:val="24"/>
          <w:szCs w:val="24"/>
        </w:rPr>
        <w:t>compact</w:t>
      </w:r>
      <w:r w:rsidR="001E1A5C" w:rsidRPr="00721AE3">
        <w:rPr>
          <w:rFonts w:ascii="Times New Roman" w:hAnsi="Times New Roman" w:cs="Times New Roman"/>
          <w:sz w:val="24"/>
          <w:szCs w:val="24"/>
        </w:rPr>
        <w:t xml:space="preserve"> and vertically structured cities, thereby extending recent </w:t>
      </w:r>
      <w:r w:rsidR="009E76E7" w:rsidRPr="00721AE3">
        <w:rPr>
          <w:rFonts w:ascii="Times New Roman" w:hAnsi="Times New Roman" w:cs="Times New Roman"/>
          <w:sz w:val="24"/>
          <w:szCs w:val="24"/>
        </w:rPr>
        <w:t>findings</w:t>
      </w:r>
      <w:r w:rsidR="001E1A5C" w:rsidRPr="00721AE3">
        <w:rPr>
          <w:rFonts w:ascii="Times New Roman" w:hAnsi="Times New Roman" w:cs="Times New Roman"/>
          <w:sz w:val="24"/>
          <w:szCs w:val="24"/>
        </w:rPr>
        <w:t xml:space="preserve"> derived primarily from lower-density metropolitan contexts. </w:t>
      </w:r>
      <w:r w:rsidR="004D79AC" w:rsidRPr="00721AE3">
        <w:rPr>
          <w:rFonts w:ascii="Times New Roman" w:hAnsi="Times New Roman" w:cs="Times New Roman"/>
          <w:sz w:val="24"/>
          <w:szCs w:val="24"/>
        </w:rPr>
        <w:t xml:space="preserve">Second, it measures accessibility using pedestrian walking network distance rather than Euclidean distance, thereby providing a more </w:t>
      </w:r>
      <w:r w:rsidR="00BF046F" w:rsidRPr="00721AE3">
        <w:rPr>
          <w:rFonts w:ascii="Times New Roman" w:hAnsi="Times New Roman" w:cs="Times New Roman"/>
          <w:sz w:val="24"/>
          <w:szCs w:val="24"/>
        </w:rPr>
        <w:t xml:space="preserve">behaviorally </w:t>
      </w:r>
      <w:r w:rsidR="004D79AC" w:rsidRPr="00721AE3">
        <w:rPr>
          <w:rFonts w:ascii="Times New Roman" w:hAnsi="Times New Roman" w:cs="Times New Roman"/>
          <w:sz w:val="24"/>
          <w:szCs w:val="24"/>
        </w:rPr>
        <w:t>realistic characterization of amenity-specific service catchments and walkability thresholds</w:t>
      </w:r>
      <w:r w:rsidR="001E1A5C" w:rsidRPr="00721AE3">
        <w:rPr>
          <w:rFonts w:ascii="Times New Roman" w:hAnsi="Times New Roman" w:cs="Times New Roman"/>
          <w:sz w:val="24"/>
          <w:szCs w:val="24"/>
        </w:rPr>
        <w:t xml:space="preserve">. Third, it develops a unified </w:t>
      </w:r>
      <w:r w:rsidR="004A2AAB" w:rsidRPr="00721AE3">
        <w:rPr>
          <w:rFonts w:ascii="Times New Roman" w:hAnsi="Times New Roman" w:cs="Times New Roman"/>
          <w:sz w:val="24"/>
          <w:szCs w:val="24"/>
        </w:rPr>
        <w:t>analy</w:t>
      </w:r>
      <w:r w:rsidR="00442FD5" w:rsidRPr="00721AE3">
        <w:rPr>
          <w:rFonts w:ascii="Times New Roman" w:hAnsi="Times New Roman" w:cs="Times New Roman"/>
          <w:sz w:val="24"/>
          <w:szCs w:val="24"/>
        </w:rPr>
        <w:t xml:space="preserve">tical </w:t>
      </w:r>
      <w:r w:rsidR="001E1A5C" w:rsidRPr="00721AE3">
        <w:rPr>
          <w:rFonts w:ascii="Times New Roman" w:hAnsi="Times New Roman" w:cs="Times New Roman"/>
          <w:sz w:val="24"/>
          <w:szCs w:val="24"/>
        </w:rPr>
        <w:t xml:space="preserve">framework that jointly evaluates multiple categories of urban amenities, including transport, education (by stage), healthcare, commercial and retail services, and natural and recreational </w:t>
      </w:r>
      <w:r w:rsidR="004A2AAB" w:rsidRPr="00721AE3">
        <w:rPr>
          <w:rFonts w:ascii="Times New Roman" w:hAnsi="Times New Roman" w:cs="Times New Roman"/>
          <w:sz w:val="24"/>
          <w:szCs w:val="24"/>
        </w:rPr>
        <w:t>amenities</w:t>
      </w:r>
      <w:r w:rsidR="00735F86" w:rsidRPr="00721AE3">
        <w:rPr>
          <w:rFonts w:ascii="Times New Roman" w:hAnsi="Times New Roman" w:cs="Times New Roman"/>
          <w:sz w:val="24"/>
          <w:szCs w:val="24"/>
        </w:rPr>
        <w:t>, enabling</w:t>
      </w:r>
      <w:r w:rsidR="001E1A5C" w:rsidRPr="00721AE3">
        <w:rPr>
          <w:rFonts w:ascii="Times New Roman" w:hAnsi="Times New Roman" w:cs="Times New Roman"/>
          <w:sz w:val="24"/>
          <w:szCs w:val="24"/>
        </w:rPr>
        <w:t xml:space="preserve"> </w:t>
      </w:r>
      <w:r w:rsidR="00835703" w:rsidRPr="00721AE3">
        <w:rPr>
          <w:rFonts w:ascii="Times New Roman" w:hAnsi="Times New Roman" w:cs="Times New Roman"/>
          <w:sz w:val="24"/>
          <w:szCs w:val="24"/>
        </w:rPr>
        <w:t>systematic comparison of their relative importance, spatial thresholds, and distance</w:t>
      </w:r>
      <w:r w:rsidR="0016273F" w:rsidRPr="00721AE3">
        <w:rPr>
          <w:rFonts w:ascii="Times New Roman" w:hAnsi="Times New Roman" w:cs="Times New Roman"/>
          <w:sz w:val="24"/>
          <w:szCs w:val="24"/>
        </w:rPr>
        <w:t xml:space="preserve"> </w:t>
      </w:r>
      <w:r w:rsidR="00835703" w:rsidRPr="00721AE3">
        <w:rPr>
          <w:rFonts w:ascii="Times New Roman" w:hAnsi="Times New Roman" w:cs="Times New Roman"/>
          <w:sz w:val="24"/>
          <w:szCs w:val="24"/>
        </w:rPr>
        <w:t>decay patterns.</w:t>
      </w:r>
      <w:r w:rsidR="001E1A5C" w:rsidRPr="00721AE3">
        <w:rPr>
          <w:rFonts w:ascii="Times New Roman" w:hAnsi="Times New Roman" w:cs="Times New Roman"/>
          <w:sz w:val="24"/>
          <w:szCs w:val="24"/>
        </w:rPr>
        <w:t xml:space="preserve"> Fourth, </w:t>
      </w:r>
      <w:r w:rsidR="00AE3080" w:rsidRPr="00721AE3">
        <w:rPr>
          <w:rFonts w:ascii="Times New Roman" w:hAnsi="Times New Roman" w:cs="Times New Roman"/>
          <w:sz w:val="24"/>
          <w:szCs w:val="24"/>
        </w:rPr>
        <w:t xml:space="preserve">by integrating XGBoost with SHAP and ALE, the study demonstrates how explainable machine learning can move beyond prediction to recover continuous, interpretable, and policy-relevant distance-response functions </w:t>
      </w:r>
      <w:r w:rsidR="00240402" w:rsidRPr="00721AE3">
        <w:rPr>
          <w:rFonts w:ascii="Times New Roman" w:hAnsi="Times New Roman" w:cs="Times New Roman"/>
          <w:sz w:val="24"/>
          <w:szCs w:val="24"/>
        </w:rPr>
        <w:t xml:space="preserve">for urban amenities </w:t>
      </w:r>
      <w:r w:rsidR="00AE3080" w:rsidRPr="00721AE3">
        <w:rPr>
          <w:rFonts w:ascii="Times New Roman" w:hAnsi="Times New Roman" w:cs="Times New Roman"/>
          <w:sz w:val="24"/>
          <w:szCs w:val="24"/>
        </w:rPr>
        <w:t>in complex urban environments</w:t>
      </w:r>
      <w:r w:rsidR="00C64F29" w:rsidRPr="00721AE3">
        <w:rPr>
          <w:rFonts w:ascii="Times New Roman" w:hAnsi="Times New Roman" w:cs="Times New Roman"/>
          <w:sz w:val="24"/>
          <w:szCs w:val="24"/>
        </w:rPr>
        <w:t>.</w:t>
      </w:r>
    </w:p>
    <w:p w14:paraId="59F7B76B" w14:textId="395037AA" w:rsidR="00C23AE5" w:rsidRPr="00721AE3" w:rsidRDefault="005D7F1C" w:rsidP="00BA06E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The rest of the paper is structured as follows</w:t>
      </w:r>
      <w:r w:rsidR="000B2A80" w:rsidRPr="00721AE3">
        <w:rPr>
          <w:rFonts w:ascii="Times New Roman" w:hAnsi="Times New Roman" w:cs="Times New Roman"/>
          <w:sz w:val="24"/>
          <w:szCs w:val="24"/>
        </w:rPr>
        <w:t>:</w:t>
      </w:r>
      <w:r w:rsidR="0067615C" w:rsidRPr="00721AE3">
        <w:rPr>
          <w:rFonts w:ascii="Times New Roman" w:hAnsi="Times New Roman" w:cs="Times New Roman"/>
          <w:sz w:val="24"/>
          <w:szCs w:val="24"/>
        </w:rPr>
        <w:t xml:space="preserve"> </w:t>
      </w:r>
      <w:r w:rsidR="00F7139B" w:rsidRPr="00721AE3">
        <w:rPr>
          <w:rFonts w:ascii="Times New Roman" w:hAnsi="Times New Roman" w:cs="Times New Roman"/>
          <w:sz w:val="24"/>
          <w:szCs w:val="24"/>
        </w:rPr>
        <w:t>Section 2 reviews the relevant literature</w:t>
      </w:r>
      <w:r w:rsidR="000B2A80" w:rsidRPr="00721AE3">
        <w:rPr>
          <w:rFonts w:ascii="Times New Roman" w:hAnsi="Times New Roman" w:cs="Times New Roman"/>
          <w:sz w:val="24"/>
          <w:szCs w:val="24"/>
        </w:rPr>
        <w:t>,</w:t>
      </w:r>
      <w:r w:rsidR="0067615C" w:rsidRPr="00721AE3">
        <w:rPr>
          <w:rFonts w:ascii="Times New Roman" w:hAnsi="Times New Roman" w:cs="Times New Roman"/>
          <w:sz w:val="24"/>
          <w:szCs w:val="24"/>
        </w:rPr>
        <w:t xml:space="preserve"> Section 3 </w:t>
      </w:r>
      <w:r w:rsidR="009404DD" w:rsidRPr="00721AE3">
        <w:rPr>
          <w:rFonts w:ascii="Times New Roman" w:hAnsi="Times New Roman" w:cs="Times New Roman"/>
          <w:sz w:val="24"/>
          <w:szCs w:val="24"/>
        </w:rPr>
        <w:t>present</w:t>
      </w:r>
      <w:r w:rsidR="0067615C" w:rsidRPr="00721AE3">
        <w:rPr>
          <w:rFonts w:ascii="Times New Roman" w:hAnsi="Times New Roman" w:cs="Times New Roman"/>
          <w:sz w:val="24"/>
          <w:szCs w:val="24"/>
        </w:rPr>
        <w:t>s the study area, data, and methodology</w:t>
      </w:r>
      <w:r w:rsidR="000B2A80" w:rsidRPr="00721AE3">
        <w:rPr>
          <w:rFonts w:ascii="Times New Roman" w:hAnsi="Times New Roman" w:cs="Times New Roman"/>
          <w:sz w:val="24"/>
          <w:szCs w:val="24"/>
        </w:rPr>
        <w:t>,</w:t>
      </w:r>
      <w:r w:rsidR="0067615C" w:rsidRPr="00721AE3">
        <w:rPr>
          <w:rFonts w:ascii="Times New Roman" w:hAnsi="Times New Roman" w:cs="Times New Roman"/>
          <w:sz w:val="24"/>
          <w:szCs w:val="24"/>
        </w:rPr>
        <w:t xml:space="preserve"> Section 4 </w:t>
      </w:r>
      <w:r w:rsidR="003330A8" w:rsidRPr="00721AE3">
        <w:rPr>
          <w:rFonts w:ascii="Times New Roman" w:hAnsi="Times New Roman" w:cs="Times New Roman"/>
          <w:sz w:val="24"/>
          <w:szCs w:val="24"/>
        </w:rPr>
        <w:t>reports</w:t>
      </w:r>
      <w:r w:rsidR="0067615C" w:rsidRPr="00721AE3">
        <w:rPr>
          <w:rFonts w:ascii="Times New Roman" w:hAnsi="Times New Roman" w:cs="Times New Roman"/>
          <w:sz w:val="24"/>
          <w:szCs w:val="24"/>
        </w:rPr>
        <w:t xml:space="preserve"> the empirical </w:t>
      </w:r>
      <w:r w:rsidR="00DA1B8B" w:rsidRPr="00721AE3">
        <w:rPr>
          <w:rFonts w:ascii="Times New Roman" w:hAnsi="Times New Roman" w:cs="Times New Roman"/>
          <w:sz w:val="24"/>
          <w:szCs w:val="24"/>
        </w:rPr>
        <w:t>finding</w:t>
      </w:r>
      <w:r w:rsidR="0067615C" w:rsidRPr="00721AE3">
        <w:rPr>
          <w:rFonts w:ascii="Times New Roman" w:hAnsi="Times New Roman" w:cs="Times New Roman"/>
          <w:sz w:val="24"/>
          <w:szCs w:val="24"/>
        </w:rPr>
        <w:t>s</w:t>
      </w:r>
      <w:r w:rsidR="00BE4339" w:rsidRPr="00721AE3">
        <w:rPr>
          <w:rFonts w:ascii="Times New Roman" w:hAnsi="Times New Roman" w:cs="Times New Roman"/>
          <w:sz w:val="24"/>
          <w:szCs w:val="24"/>
        </w:rPr>
        <w:t xml:space="preserve">, and </w:t>
      </w:r>
      <w:r w:rsidR="002423A5" w:rsidRPr="00721AE3">
        <w:rPr>
          <w:rFonts w:ascii="Times New Roman" w:hAnsi="Times New Roman" w:cs="Times New Roman"/>
          <w:sz w:val="24"/>
          <w:szCs w:val="24"/>
        </w:rPr>
        <w:t xml:space="preserve">Section 5 concludes </w:t>
      </w:r>
      <w:r w:rsidR="002254E0" w:rsidRPr="00721AE3">
        <w:rPr>
          <w:rFonts w:ascii="Times New Roman" w:hAnsi="Times New Roman" w:cs="Times New Roman"/>
          <w:sz w:val="24"/>
          <w:szCs w:val="24"/>
        </w:rPr>
        <w:t>with policy implications.</w:t>
      </w:r>
    </w:p>
    <w:p w14:paraId="5540EB55" w14:textId="7197EF2E" w:rsidR="00E920E3" w:rsidRPr="00721AE3" w:rsidRDefault="004139D6" w:rsidP="00CE2308">
      <w:pPr>
        <w:pStyle w:val="a9"/>
        <w:numPr>
          <w:ilvl w:val="0"/>
          <w:numId w:val="1"/>
        </w:numPr>
        <w:spacing w:line="360" w:lineRule="auto"/>
        <w:ind w:left="426" w:hanging="426"/>
        <w:jc w:val="both"/>
        <w:rPr>
          <w:rFonts w:ascii="Times New Roman" w:hAnsi="Times New Roman" w:cs="Times New Roman"/>
          <w:b/>
          <w:bCs/>
          <w:sz w:val="24"/>
          <w:szCs w:val="24"/>
        </w:rPr>
      </w:pPr>
      <w:r w:rsidRPr="00721AE3">
        <w:rPr>
          <w:rFonts w:ascii="Times New Roman" w:hAnsi="Times New Roman" w:cs="Times New Roman"/>
          <w:b/>
          <w:bCs/>
          <w:sz w:val="24"/>
          <w:szCs w:val="24"/>
        </w:rPr>
        <w:t xml:space="preserve">Literature review </w:t>
      </w:r>
    </w:p>
    <w:p w14:paraId="2F22AEF4" w14:textId="34A29C9E" w:rsidR="00385998" w:rsidRPr="00721AE3" w:rsidRDefault="00BA6BF4" w:rsidP="008D2195">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Strong evidence from foundational hedonic studies </w:t>
      </w:r>
      <w:r w:rsidR="00D632DF" w:rsidRPr="00721AE3">
        <w:rPr>
          <w:rFonts w:ascii="Times New Roman" w:hAnsi="Times New Roman" w:cs="Times New Roman"/>
          <w:sz w:val="24"/>
          <w:szCs w:val="24"/>
        </w:rPr>
        <w:t>show</w:t>
      </w:r>
      <w:r w:rsidRPr="00721AE3">
        <w:rPr>
          <w:rFonts w:ascii="Times New Roman" w:hAnsi="Times New Roman" w:cs="Times New Roman"/>
          <w:sz w:val="24"/>
          <w:szCs w:val="24"/>
        </w:rPr>
        <w:t xml:space="preserve">s that school quality and accessibility significantly influence housing prices (Gibbons &amp; Machin, 2008; Feng &amp; Lu, 2013; Wen et al., 2014, 2019). Transport accessibility also generates substantial price premiums by reducing commuting costs and improving connectivity (Gibbons &amp; Machin, 2008; Lieske et al., 2019; Seo et al., 2019; Wadu Mesthrige &amp; Maqsood, 2022). Urban greenspaces and recreational amenities further enhance property values by improving environmental quality and overall livability (Jim &amp; Chen, 2006; Feng &amp; Humphreys, 2012; Łaszkiewicz et al., 2022). In contrast, healthcare facilities </w:t>
      </w:r>
      <w:r w:rsidRPr="00721AE3">
        <w:rPr>
          <w:rFonts w:ascii="Times New Roman" w:hAnsi="Times New Roman" w:cs="Times New Roman"/>
          <w:sz w:val="24"/>
          <w:szCs w:val="24"/>
        </w:rPr>
        <w:lastRenderedPageBreak/>
        <w:t>(Peng &amp; Chiang, 2015; Peng, 2021; Gu et al., 2024) and commercial hubs (Kholdy et al., 2014; Jang &amp; Kang, 2015; Zhang et al., 2020) often exhibit more complex effects, reflecting the coexistence of accessibility benefits and localized externalities</w:t>
      </w:r>
      <w:r w:rsidR="00240200" w:rsidRPr="00721AE3">
        <w:rPr>
          <w:rFonts w:ascii="Times New Roman" w:hAnsi="Times New Roman" w:cs="Times New Roman"/>
          <w:sz w:val="24"/>
          <w:szCs w:val="24"/>
        </w:rPr>
        <w:t xml:space="preserve">. </w:t>
      </w:r>
    </w:p>
    <w:p w14:paraId="718F999A" w14:textId="05DF0BA4" w:rsidR="008D2195" w:rsidRPr="00721AE3" w:rsidRDefault="00052783" w:rsidP="008D2195">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Despite this broad consensus, the functional form and spatial extent of amenity effects remain unresolved. Much of the literature relies on linear or semi-log specifications, or on discrete distance bands, implicitly assuming smooth and monotonic relationships. However, growing evidence </w:t>
      </w:r>
      <w:r w:rsidR="001179D9" w:rsidRPr="00721AE3">
        <w:rPr>
          <w:rFonts w:ascii="Times New Roman" w:hAnsi="Times New Roman" w:cs="Times New Roman"/>
          <w:sz w:val="24"/>
          <w:szCs w:val="24"/>
        </w:rPr>
        <w:t>suggests</w:t>
      </w:r>
      <w:r w:rsidRPr="00721AE3">
        <w:rPr>
          <w:rFonts w:ascii="Times New Roman" w:hAnsi="Times New Roman" w:cs="Times New Roman"/>
          <w:sz w:val="24"/>
          <w:szCs w:val="24"/>
        </w:rPr>
        <w:t xml:space="preserve"> that amenity </w:t>
      </w:r>
      <w:r w:rsidR="00AB46BF" w:rsidRPr="00721AE3">
        <w:rPr>
          <w:rFonts w:ascii="Times New Roman" w:hAnsi="Times New Roman" w:cs="Times New Roman"/>
          <w:sz w:val="24"/>
          <w:szCs w:val="24"/>
        </w:rPr>
        <w:t xml:space="preserve">effects </w:t>
      </w:r>
      <w:r w:rsidRPr="00721AE3">
        <w:rPr>
          <w:rFonts w:ascii="Times New Roman" w:hAnsi="Times New Roman" w:cs="Times New Roman"/>
          <w:sz w:val="24"/>
          <w:szCs w:val="24"/>
        </w:rPr>
        <w:t xml:space="preserve">are highly non-linear and context-dependent. Proximity </w:t>
      </w:r>
      <w:r w:rsidR="00F8026C" w:rsidRPr="00721AE3">
        <w:rPr>
          <w:rFonts w:ascii="Times New Roman" w:hAnsi="Times New Roman" w:cs="Times New Roman"/>
          <w:sz w:val="24"/>
          <w:szCs w:val="24"/>
        </w:rPr>
        <w:t xml:space="preserve">may </w:t>
      </w:r>
      <w:r w:rsidRPr="00721AE3">
        <w:rPr>
          <w:rFonts w:ascii="Times New Roman" w:hAnsi="Times New Roman" w:cs="Times New Roman"/>
          <w:sz w:val="24"/>
          <w:szCs w:val="24"/>
        </w:rPr>
        <w:t>generate positive effects through accessibility and agglomeration</w:t>
      </w:r>
      <w:r w:rsidR="00FD2CAB" w:rsidRPr="00721AE3">
        <w:rPr>
          <w:rFonts w:ascii="Times New Roman" w:hAnsi="Times New Roman" w:cs="Times New Roman"/>
          <w:sz w:val="24"/>
          <w:szCs w:val="24"/>
        </w:rPr>
        <w:t xml:space="preserve"> benefits</w:t>
      </w:r>
      <w:r w:rsidRPr="00721AE3">
        <w:rPr>
          <w:rFonts w:ascii="Times New Roman" w:hAnsi="Times New Roman" w:cs="Times New Roman"/>
          <w:sz w:val="24"/>
          <w:szCs w:val="24"/>
        </w:rPr>
        <w:t>, but also negative effects through congestion, noise, and crowding, leading to threshold or non-monotonic patterns (</w:t>
      </w:r>
      <w:r w:rsidR="00554D95" w:rsidRPr="00721AE3">
        <w:rPr>
          <w:rFonts w:ascii="Times New Roman" w:hAnsi="Times New Roman" w:cs="Times New Roman"/>
          <w:sz w:val="24"/>
          <w:szCs w:val="24"/>
        </w:rPr>
        <w:t xml:space="preserve">Jin et al., 2022; </w:t>
      </w:r>
      <w:r w:rsidR="0087560C" w:rsidRPr="00721AE3">
        <w:rPr>
          <w:rFonts w:ascii="Times New Roman" w:hAnsi="Times New Roman" w:cs="Times New Roman"/>
          <w:sz w:val="24"/>
          <w:szCs w:val="24"/>
        </w:rPr>
        <w:t>Dou et al., 2023</w:t>
      </w:r>
      <w:r w:rsidRPr="00721AE3">
        <w:rPr>
          <w:rFonts w:ascii="Times New Roman" w:hAnsi="Times New Roman" w:cs="Times New Roman"/>
          <w:sz w:val="24"/>
          <w:szCs w:val="24"/>
        </w:rPr>
        <w:t>). In dense urban environments, these opposing forces often operate within very short spatial ranges, making accurate identification of distance</w:t>
      </w:r>
      <w:r w:rsidR="006E7DC1"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decay </w:t>
      </w:r>
      <w:r w:rsidR="0052226C" w:rsidRPr="00721AE3">
        <w:rPr>
          <w:rFonts w:ascii="Times New Roman" w:hAnsi="Times New Roman" w:cs="Times New Roman"/>
          <w:sz w:val="24"/>
          <w:szCs w:val="24"/>
        </w:rPr>
        <w:t xml:space="preserve">relationships </w:t>
      </w:r>
      <w:r w:rsidRPr="00721AE3">
        <w:rPr>
          <w:rFonts w:ascii="Times New Roman" w:hAnsi="Times New Roman" w:cs="Times New Roman"/>
          <w:sz w:val="24"/>
          <w:szCs w:val="24"/>
        </w:rPr>
        <w:t>particularly challenging.</w:t>
      </w:r>
    </w:p>
    <w:p w14:paraId="6DB77514" w14:textId="2E88B966" w:rsidR="00D66A47" w:rsidRPr="00721AE3" w:rsidRDefault="00A10739" w:rsidP="008D2195">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To address these </w:t>
      </w:r>
      <w:r w:rsidR="0026552B" w:rsidRPr="00721AE3">
        <w:rPr>
          <w:rFonts w:ascii="Times New Roman" w:hAnsi="Times New Roman" w:cs="Times New Roman"/>
          <w:sz w:val="24"/>
          <w:szCs w:val="24"/>
        </w:rPr>
        <w:t>challenge</w:t>
      </w:r>
      <w:r w:rsidRPr="00721AE3">
        <w:rPr>
          <w:rFonts w:ascii="Times New Roman" w:hAnsi="Times New Roman" w:cs="Times New Roman"/>
          <w:sz w:val="24"/>
          <w:szCs w:val="24"/>
        </w:rPr>
        <w:t xml:space="preserve">s, </w:t>
      </w:r>
      <w:r w:rsidR="003300C4" w:rsidRPr="00721AE3">
        <w:rPr>
          <w:rFonts w:ascii="Times New Roman" w:hAnsi="Times New Roman" w:cs="Times New Roman"/>
          <w:sz w:val="24"/>
          <w:szCs w:val="24"/>
        </w:rPr>
        <w:t>researchers have adopted more flexible analytical approaches</w:t>
      </w:r>
      <w:r w:rsidR="009B7A83" w:rsidRPr="00721AE3">
        <w:rPr>
          <w:rFonts w:ascii="Times New Roman" w:hAnsi="Times New Roman" w:cs="Times New Roman"/>
          <w:sz w:val="24"/>
          <w:szCs w:val="24"/>
        </w:rPr>
        <w:t xml:space="preserve">. Spatial econometric models </w:t>
      </w:r>
      <w:r w:rsidR="002011C6" w:rsidRPr="00721AE3">
        <w:rPr>
          <w:rFonts w:ascii="Times New Roman" w:hAnsi="Times New Roman" w:cs="Times New Roman"/>
          <w:sz w:val="24"/>
          <w:szCs w:val="24"/>
        </w:rPr>
        <w:t xml:space="preserve">such as </w:t>
      </w:r>
      <w:r w:rsidR="009B7A83" w:rsidRPr="00721AE3">
        <w:rPr>
          <w:rFonts w:ascii="Times New Roman" w:hAnsi="Times New Roman" w:cs="Times New Roman"/>
          <w:sz w:val="24"/>
          <w:szCs w:val="24"/>
        </w:rPr>
        <w:t xml:space="preserve">GWR and MGWR effectively handle spatial autocorrelation and non-stationarity by allowing model parameters to vary locally (Huang et al., 2010; Fotheringham et al., 2017; Wu et al., 2019). Quantile regression captures price-tier heterogeneity across different segments of the housing market (Peng, 2021; Wen et al., 2019). More recently, machine learning techniques have gained attention for their ability to model complex non-linear relationships and higher-dimensional interactions without imposing restrictive functional-form assumptions (Chen &amp; Guestrin, 2016; Chen et al., 2023). </w:t>
      </w:r>
      <w:r w:rsidR="00485E8B" w:rsidRPr="00721AE3">
        <w:rPr>
          <w:rFonts w:ascii="Times New Roman" w:hAnsi="Times New Roman" w:cs="Times New Roman"/>
          <w:sz w:val="24"/>
          <w:szCs w:val="24"/>
        </w:rPr>
        <w:t>Despite these advances, a key challenge remains: achieving high predictive accuracy while retaining interpretability and recovering continuous, amenity-specific distance-response functions</w:t>
      </w:r>
      <w:r w:rsidR="00D54EFB" w:rsidRPr="00721AE3">
        <w:rPr>
          <w:rFonts w:ascii="Times New Roman" w:hAnsi="Times New Roman" w:cs="Times New Roman"/>
          <w:sz w:val="24"/>
          <w:szCs w:val="24"/>
        </w:rPr>
        <w:t xml:space="preserve">. </w:t>
      </w:r>
    </w:p>
    <w:p w14:paraId="78A2DC48" w14:textId="0D7CAA38" w:rsidR="003A0983" w:rsidRPr="00721AE3" w:rsidRDefault="002B111F" w:rsidP="008D2195">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 xml:space="preserve">Explainable artificial intelligence (XAI) methods have </w:t>
      </w:r>
      <w:r w:rsidR="00330908" w:rsidRPr="00721AE3">
        <w:rPr>
          <w:rFonts w:ascii="Times New Roman" w:hAnsi="Times New Roman" w:cs="Times New Roman"/>
          <w:sz w:val="24"/>
          <w:szCs w:val="24"/>
        </w:rPr>
        <w:t xml:space="preserve">emerged as a </w:t>
      </w:r>
      <w:r w:rsidR="001254F5" w:rsidRPr="00721AE3">
        <w:rPr>
          <w:rFonts w:ascii="Times New Roman" w:hAnsi="Times New Roman" w:cs="Times New Roman"/>
          <w:sz w:val="24"/>
          <w:szCs w:val="24"/>
        </w:rPr>
        <w:t xml:space="preserve">promising </w:t>
      </w:r>
      <w:r w:rsidR="00330908" w:rsidRPr="00721AE3">
        <w:rPr>
          <w:rFonts w:ascii="Times New Roman" w:hAnsi="Times New Roman" w:cs="Times New Roman"/>
          <w:sz w:val="24"/>
          <w:szCs w:val="24"/>
        </w:rPr>
        <w:t>solution to this trade-off</w:t>
      </w:r>
      <w:r w:rsidRPr="00721AE3">
        <w:rPr>
          <w:rFonts w:ascii="Times New Roman" w:hAnsi="Times New Roman" w:cs="Times New Roman"/>
          <w:sz w:val="24"/>
          <w:szCs w:val="24"/>
        </w:rPr>
        <w:t xml:space="preserve">. SHAP </w:t>
      </w:r>
      <w:r w:rsidR="00D47898" w:rsidRPr="00721AE3">
        <w:rPr>
          <w:rFonts w:ascii="Times New Roman" w:hAnsi="Times New Roman" w:cs="Times New Roman"/>
          <w:sz w:val="24"/>
          <w:szCs w:val="24"/>
        </w:rPr>
        <w:t xml:space="preserve">provides a </w:t>
      </w:r>
      <w:r w:rsidR="00795301" w:rsidRPr="00721AE3">
        <w:rPr>
          <w:rFonts w:ascii="Times New Roman" w:hAnsi="Times New Roman" w:cs="Times New Roman"/>
          <w:sz w:val="24"/>
          <w:szCs w:val="24"/>
        </w:rPr>
        <w:t xml:space="preserve">theoretically grounded and </w:t>
      </w:r>
      <w:r w:rsidRPr="00721AE3">
        <w:rPr>
          <w:rFonts w:ascii="Times New Roman" w:hAnsi="Times New Roman" w:cs="Times New Roman"/>
          <w:sz w:val="24"/>
          <w:szCs w:val="24"/>
        </w:rPr>
        <w:t>consistent decomposition of feature contributions at both global and local levels</w:t>
      </w:r>
      <w:r w:rsidR="007D60BA" w:rsidRPr="00721AE3">
        <w:rPr>
          <w:rFonts w:ascii="Times New Roman" w:hAnsi="Times New Roman" w:cs="Times New Roman"/>
          <w:sz w:val="24"/>
          <w:szCs w:val="24"/>
        </w:rPr>
        <w:t>.</w:t>
      </w:r>
      <w:r w:rsidR="00795301" w:rsidRPr="00721AE3">
        <w:rPr>
          <w:rFonts w:ascii="Times New Roman" w:hAnsi="Times New Roman" w:cs="Times New Roman"/>
          <w:sz w:val="24"/>
          <w:szCs w:val="24"/>
        </w:rPr>
        <w:t xml:space="preserve"> </w:t>
      </w:r>
      <w:r w:rsidR="00BC7EB0" w:rsidRPr="00721AE3">
        <w:rPr>
          <w:rFonts w:ascii="Times New Roman" w:hAnsi="Times New Roman" w:cs="Times New Roman"/>
          <w:sz w:val="24"/>
          <w:szCs w:val="24"/>
        </w:rPr>
        <w:t>In this context, consistency implies that if a feature’s contribution to model output increases due to a model change, its SHAP value will not decrease, ensuring stable and comparable explanations</w:t>
      </w:r>
      <w:r w:rsidR="00F4216E" w:rsidRPr="00721AE3">
        <w:rPr>
          <w:rFonts w:ascii="Times New Roman" w:hAnsi="Times New Roman" w:cs="Times New Roman"/>
          <w:sz w:val="24"/>
          <w:szCs w:val="24"/>
        </w:rPr>
        <w:t xml:space="preserve"> </w:t>
      </w:r>
      <w:r w:rsidRPr="00721AE3">
        <w:rPr>
          <w:rFonts w:ascii="Times New Roman" w:hAnsi="Times New Roman" w:cs="Times New Roman"/>
          <w:sz w:val="24"/>
          <w:szCs w:val="24"/>
        </w:rPr>
        <w:t>(</w:t>
      </w:r>
      <w:r w:rsidR="005C4C82" w:rsidRPr="00721AE3">
        <w:rPr>
          <w:rFonts w:ascii="Times New Roman" w:hAnsi="Times New Roman" w:cs="Times New Roman"/>
          <w:sz w:val="24"/>
          <w:szCs w:val="24"/>
        </w:rPr>
        <w:t>Lundberg &amp; Lee, 2017; Molnar, 2021</w:t>
      </w:r>
      <w:r w:rsidRPr="00721AE3">
        <w:rPr>
          <w:rFonts w:ascii="Times New Roman" w:hAnsi="Times New Roman" w:cs="Times New Roman"/>
          <w:sz w:val="24"/>
          <w:szCs w:val="24"/>
        </w:rPr>
        <w:t>)</w:t>
      </w:r>
      <w:r w:rsidR="00AC18B1" w:rsidRPr="00721AE3">
        <w:rPr>
          <w:rFonts w:ascii="Times New Roman" w:hAnsi="Times New Roman" w:cs="Times New Roman"/>
          <w:sz w:val="24"/>
          <w:szCs w:val="24"/>
        </w:rPr>
        <w:t>.</w:t>
      </w:r>
      <w:r w:rsidR="00AB365E" w:rsidRPr="00721AE3">
        <w:rPr>
          <w:rFonts w:ascii="Times New Roman" w:hAnsi="Times New Roman" w:cs="Times New Roman"/>
          <w:sz w:val="24"/>
          <w:szCs w:val="24"/>
        </w:rPr>
        <w:t xml:space="preserve"> </w:t>
      </w:r>
      <w:r w:rsidR="00877B38" w:rsidRPr="00721AE3">
        <w:rPr>
          <w:rFonts w:ascii="Times New Roman" w:hAnsi="Times New Roman" w:cs="Times New Roman"/>
          <w:sz w:val="24"/>
          <w:szCs w:val="24"/>
        </w:rPr>
        <w:t>This property is particularly relevant in the present study’s dataset because the thirteen distance-based amenity variables may be spatially correlated, as different amenities may be concentrated in the same urban locations. Consistent attribution is therefore important for making meaningful comparisons of the relative contributions of different amenity types to housing prices</w:t>
      </w:r>
      <w:r w:rsidR="00AB365E"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 </w:t>
      </w:r>
      <w:r w:rsidR="00B373B3" w:rsidRPr="00721AE3">
        <w:rPr>
          <w:rFonts w:ascii="Times New Roman" w:hAnsi="Times New Roman" w:cs="Times New Roman"/>
          <w:sz w:val="24"/>
          <w:szCs w:val="24"/>
        </w:rPr>
        <w:t>ALE complements SHAP by providing a more locally accurate estimate of marginal effects than conventional partial dependence, particularly when predictors are correlated</w:t>
      </w:r>
      <w:r w:rsidRPr="00721AE3">
        <w:rPr>
          <w:rFonts w:ascii="Times New Roman" w:hAnsi="Times New Roman" w:cs="Times New Roman"/>
          <w:sz w:val="24"/>
          <w:szCs w:val="24"/>
        </w:rPr>
        <w:t xml:space="preserve"> (</w:t>
      </w:r>
      <w:bookmarkStart w:id="0" w:name="_Hlk239323434"/>
      <w:r w:rsidRPr="00721AE3">
        <w:rPr>
          <w:rFonts w:ascii="Times New Roman" w:hAnsi="Times New Roman" w:cs="Times New Roman"/>
          <w:sz w:val="24"/>
          <w:szCs w:val="24"/>
        </w:rPr>
        <w:t>Apley &amp; Zhu, 2020</w:t>
      </w:r>
      <w:bookmarkEnd w:id="0"/>
      <w:r w:rsidRPr="00721AE3">
        <w:rPr>
          <w:rFonts w:ascii="Times New Roman" w:hAnsi="Times New Roman" w:cs="Times New Roman"/>
          <w:sz w:val="24"/>
          <w:szCs w:val="24"/>
        </w:rPr>
        <w:t xml:space="preserve">; Molnar, 2021). </w:t>
      </w:r>
      <w:r w:rsidR="009076CA" w:rsidRPr="00721AE3">
        <w:rPr>
          <w:rFonts w:ascii="Times New Roman" w:hAnsi="Times New Roman" w:cs="Times New Roman"/>
          <w:sz w:val="24"/>
          <w:szCs w:val="24"/>
        </w:rPr>
        <w:t xml:space="preserve">Empirical applications </w:t>
      </w:r>
      <w:r w:rsidR="00B754A9" w:rsidRPr="00721AE3">
        <w:rPr>
          <w:rFonts w:ascii="Times New Roman" w:hAnsi="Times New Roman" w:cs="Times New Roman"/>
          <w:sz w:val="24"/>
          <w:szCs w:val="24"/>
        </w:rPr>
        <w:t xml:space="preserve">demonstrate the effectiveness </w:t>
      </w:r>
      <w:r w:rsidR="009076CA" w:rsidRPr="00721AE3">
        <w:rPr>
          <w:rFonts w:ascii="Times New Roman" w:hAnsi="Times New Roman" w:cs="Times New Roman"/>
          <w:sz w:val="24"/>
          <w:szCs w:val="24"/>
        </w:rPr>
        <w:t xml:space="preserve">of these methods in revealing non-linear </w:t>
      </w:r>
      <w:r w:rsidR="001E0193" w:rsidRPr="00721AE3">
        <w:rPr>
          <w:rFonts w:ascii="Times New Roman" w:hAnsi="Times New Roman" w:cs="Times New Roman"/>
          <w:sz w:val="24"/>
          <w:szCs w:val="24"/>
        </w:rPr>
        <w:t>relationships</w:t>
      </w:r>
      <w:r w:rsidR="009076CA" w:rsidRPr="00721AE3">
        <w:rPr>
          <w:rFonts w:ascii="Times New Roman" w:hAnsi="Times New Roman" w:cs="Times New Roman"/>
          <w:sz w:val="24"/>
          <w:szCs w:val="24"/>
        </w:rPr>
        <w:t xml:space="preserve">, threshold </w:t>
      </w:r>
      <w:r w:rsidR="001E0193" w:rsidRPr="00721AE3">
        <w:rPr>
          <w:rFonts w:ascii="Times New Roman" w:hAnsi="Times New Roman" w:cs="Times New Roman"/>
          <w:sz w:val="24"/>
          <w:szCs w:val="24"/>
        </w:rPr>
        <w:t>effects</w:t>
      </w:r>
      <w:r w:rsidR="009076CA" w:rsidRPr="00721AE3">
        <w:rPr>
          <w:rFonts w:ascii="Times New Roman" w:hAnsi="Times New Roman" w:cs="Times New Roman"/>
          <w:sz w:val="24"/>
          <w:szCs w:val="24"/>
        </w:rPr>
        <w:t>, and spatial heterogeneity in housing markets</w:t>
      </w:r>
      <w:r w:rsidRPr="00721AE3">
        <w:rPr>
          <w:rFonts w:ascii="Times New Roman" w:hAnsi="Times New Roman" w:cs="Times New Roman"/>
          <w:sz w:val="24"/>
          <w:szCs w:val="24"/>
        </w:rPr>
        <w:t xml:space="preserve"> (Dou et al., 2023; Lee et al., 2025; </w:t>
      </w:r>
      <w:r w:rsidR="00A165B2" w:rsidRPr="00721AE3">
        <w:rPr>
          <w:rFonts w:ascii="Times New Roman" w:hAnsi="Times New Roman" w:cs="Times New Roman"/>
          <w:sz w:val="24"/>
          <w:szCs w:val="24"/>
        </w:rPr>
        <w:t xml:space="preserve">X. </w:t>
      </w:r>
      <w:r w:rsidRPr="00721AE3">
        <w:rPr>
          <w:rFonts w:ascii="Times New Roman" w:hAnsi="Times New Roman" w:cs="Times New Roman"/>
          <w:sz w:val="24"/>
          <w:szCs w:val="24"/>
        </w:rPr>
        <w:t>Liu et al., 2026).</w:t>
      </w:r>
      <w:r w:rsidR="007B481F" w:rsidRPr="00721AE3">
        <w:rPr>
          <w:rFonts w:ascii="Times New Roman" w:hAnsi="Times New Roman" w:cs="Times New Roman"/>
          <w:sz w:val="24"/>
          <w:szCs w:val="24"/>
        </w:rPr>
        <w:t xml:space="preserve"> </w:t>
      </w:r>
    </w:p>
    <w:p w14:paraId="008A825F" w14:textId="45B18DA9" w:rsidR="0052747D" w:rsidRPr="00721AE3" w:rsidRDefault="00972BBA" w:rsidP="008D2195">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However, most existing XAI-based studies </w:t>
      </w:r>
      <w:r w:rsidR="00F01450" w:rsidRPr="00721AE3">
        <w:rPr>
          <w:rFonts w:ascii="Times New Roman" w:hAnsi="Times New Roman" w:cs="Times New Roman"/>
          <w:sz w:val="24"/>
          <w:szCs w:val="24"/>
        </w:rPr>
        <w:t>measure accessibility using</w:t>
      </w:r>
      <w:r w:rsidRPr="00721AE3">
        <w:rPr>
          <w:rFonts w:ascii="Times New Roman" w:hAnsi="Times New Roman" w:cs="Times New Roman"/>
          <w:sz w:val="24"/>
          <w:szCs w:val="24"/>
        </w:rPr>
        <w:t xml:space="preserve"> aggregated indicators (e.g., counts or densities within predefined buffers) (e.g., Chen et al., 2023; Dou et al., 2023) or straight-line (Euclidean) distance (e.g., Chen et al., 2025; Lee et al., 2025), which may inadequately represent actual pedestrian accessibility. This limitation is particularly important in hyper-dense, vertically structured cities such as Hong Kong, where walking routes are shaped by complex street layouts, topography, and multi-level pedestrian networks rather than straight-line distance. </w:t>
      </w:r>
      <w:r w:rsidR="005F7B80" w:rsidRPr="00721AE3">
        <w:rPr>
          <w:rFonts w:ascii="Times New Roman" w:hAnsi="Times New Roman" w:cs="Times New Roman"/>
          <w:sz w:val="24"/>
          <w:szCs w:val="24"/>
        </w:rPr>
        <w:t>More</w:t>
      </w:r>
      <w:r w:rsidR="008D060D" w:rsidRPr="00721AE3">
        <w:rPr>
          <w:rFonts w:ascii="Times New Roman" w:hAnsi="Times New Roman" w:cs="Times New Roman"/>
          <w:sz w:val="24"/>
          <w:szCs w:val="24"/>
        </w:rPr>
        <w:t>over</w:t>
      </w:r>
      <w:r w:rsidRPr="00721AE3">
        <w:rPr>
          <w:rFonts w:ascii="Times New Roman" w:hAnsi="Times New Roman" w:cs="Times New Roman"/>
          <w:sz w:val="24"/>
          <w:szCs w:val="24"/>
        </w:rPr>
        <w:t>, many studies examine individual amenity categories in isolation, limiting systematic comparisons of distance</w:t>
      </w:r>
      <w:r w:rsidR="006E7DC1" w:rsidRPr="00721AE3">
        <w:rPr>
          <w:rFonts w:ascii="Times New Roman" w:hAnsi="Times New Roman" w:cs="Times New Roman"/>
          <w:sz w:val="24"/>
          <w:szCs w:val="24"/>
        </w:rPr>
        <w:t xml:space="preserve"> </w:t>
      </w:r>
      <w:r w:rsidRPr="00721AE3">
        <w:rPr>
          <w:rFonts w:ascii="Times New Roman" w:hAnsi="Times New Roman" w:cs="Times New Roman"/>
          <w:sz w:val="24"/>
          <w:szCs w:val="24"/>
        </w:rPr>
        <w:t>decay patterns across different urban functions.</w:t>
      </w:r>
    </w:p>
    <w:p w14:paraId="0F4B5175" w14:textId="1F4AC9F8" w:rsidR="00B54935" w:rsidRPr="00721AE3" w:rsidRDefault="00B54935" w:rsidP="008D2195">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 xml:space="preserve">To address these limitations, this study measures accessibility using pedestrian walking network distance to the nearest facility and </w:t>
      </w:r>
      <w:r w:rsidR="00315E1B" w:rsidRPr="00721AE3">
        <w:rPr>
          <w:rFonts w:ascii="Times New Roman" w:hAnsi="Times New Roman" w:cs="Times New Roman"/>
          <w:sz w:val="24"/>
          <w:szCs w:val="24"/>
        </w:rPr>
        <w:t>integrat</w:t>
      </w:r>
      <w:r w:rsidR="00FA4279" w:rsidRPr="00721AE3">
        <w:rPr>
          <w:rFonts w:ascii="Times New Roman" w:hAnsi="Times New Roman" w:cs="Times New Roman"/>
          <w:sz w:val="24"/>
          <w:szCs w:val="24"/>
        </w:rPr>
        <w:t>es</w:t>
      </w:r>
      <w:r w:rsidR="00315E1B" w:rsidRPr="00721AE3">
        <w:rPr>
          <w:rFonts w:ascii="Times New Roman" w:hAnsi="Times New Roman" w:cs="Times New Roman"/>
          <w:sz w:val="24"/>
          <w:szCs w:val="24"/>
        </w:rPr>
        <w:t xml:space="preserve"> XGBoost with SHAP and ALE within a unified analytical framework</w:t>
      </w:r>
      <w:r w:rsidRPr="00721AE3">
        <w:rPr>
          <w:rFonts w:ascii="Times New Roman" w:hAnsi="Times New Roman" w:cs="Times New Roman"/>
          <w:sz w:val="24"/>
          <w:szCs w:val="24"/>
        </w:rPr>
        <w:t xml:space="preserve">. Pedestrian network distance provides a </w:t>
      </w:r>
      <w:r w:rsidR="00512539" w:rsidRPr="00721AE3">
        <w:rPr>
          <w:rFonts w:ascii="Times New Roman" w:hAnsi="Times New Roman" w:cs="Times New Roman"/>
          <w:sz w:val="24"/>
          <w:szCs w:val="24"/>
        </w:rPr>
        <w:t xml:space="preserve">more </w:t>
      </w:r>
      <w:r w:rsidRPr="00721AE3">
        <w:rPr>
          <w:rFonts w:ascii="Times New Roman" w:hAnsi="Times New Roman" w:cs="Times New Roman"/>
          <w:sz w:val="24"/>
          <w:szCs w:val="24"/>
        </w:rPr>
        <w:t xml:space="preserve">behaviorally realistic measure of accessibility, while the complementary use of SHAP and ALE </w:t>
      </w:r>
      <w:r w:rsidR="00A82FDE" w:rsidRPr="00721AE3">
        <w:rPr>
          <w:rFonts w:ascii="Times New Roman" w:hAnsi="Times New Roman" w:cs="Times New Roman"/>
          <w:sz w:val="24"/>
          <w:szCs w:val="24"/>
        </w:rPr>
        <w:t>provides different but mutually informative perspectives on the continuous, non-linear relationships captured by the fitted model. ALE can reduce the extrapolation problems associated with conventional partial dependence approaches when predictors are correlated</w:t>
      </w:r>
      <w:r w:rsidR="00CA0A9C" w:rsidRPr="00721AE3">
        <w:rPr>
          <w:rFonts w:ascii="Times New Roman" w:hAnsi="Times New Roman" w:cs="Times New Roman"/>
          <w:sz w:val="24"/>
          <w:szCs w:val="24"/>
        </w:rPr>
        <w:t xml:space="preserve"> (Apley &amp; Zhu, 2020)</w:t>
      </w:r>
      <w:r w:rsidR="00A82FDE" w:rsidRPr="00721AE3">
        <w:rPr>
          <w:rFonts w:ascii="Times New Roman" w:hAnsi="Times New Roman" w:cs="Times New Roman"/>
          <w:sz w:val="24"/>
          <w:szCs w:val="24"/>
        </w:rPr>
        <w:t>, but neither ALE nor SHAP resolves multicollinearity or spatial confounding in the underlying model. Correlated amenity variables may still share predictive information and affect feature attribution; accordingly, the resulting distance-response patterns are interpreted as model-based associations rather than causal effects</w:t>
      </w:r>
      <w:r w:rsidR="00766F1D"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Although the nearest-facility approach </w:t>
      </w:r>
      <w:r w:rsidR="001C3FD8" w:rsidRPr="00721AE3">
        <w:rPr>
          <w:rFonts w:ascii="Times New Roman" w:hAnsi="Times New Roman" w:cs="Times New Roman"/>
          <w:sz w:val="24"/>
          <w:szCs w:val="24"/>
        </w:rPr>
        <w:t>does not capture the broader cumulative influence of all surrounding facilities</w:t>
      </w:r>
      <w:r w:rsidRPr="00721AE3">
        <w:rPr>
          <w:rFonts w:ascii="Times New Roman" w:hAnsi="Times New Roman" w:cs="Times New Roman"/>
          <w:sz w:val="24"/>
          <w:szCs w:val="24"/>
        </w:rPr>
        <w:t xml:space="preserve">, </w:t>
      </w:r>
      <w:r w:rsidR="00227151" w:rsidRPr="00721AE3">
        <w:rPr>
          <w:rFonts w:ascii="Times New Roman" w:hAnsi="Times New Roman" w:cs="Times New Roman"/>
          <w:sz w:val="24"/>
          <w:szCs w:val="24"/>
        </w:rPr>
        <w:t>it is well suited to the study's objective of identifying continuous distance</w:t>
      </w:r>
      <w:r w:rsidR="00320951" w:rsidRPr="00721AE3">
        <w:rPr>
          <w:rFonts w:ascii="Times New Roman" w:hAnsi="Times New Roman" w:cs="Times New Roman"/>
          <w:sz w:val="24"/>
          <w:szCs w:val="24"/>
        </w:rPr>
        <w:t xml:space="preserve"> </w:t>
      </w:r>
      <w:r w:rsidR="00227151" w:rsidRPr="00721AE3">
        <w:rPr>
          <w:rFonts w:ascii="Times New Roman" w:hAnsi="Times New Roman" w:cs="Times New Roman"/>
          <w:sz w:val="24"/>
          <w:szCs w:val="24"/>
        </w:rPr>
        <w:t>decay functions, walkability thresholds, and turning points at which accessibility benefits transition into disamenities. In a compact, hyper-dense city such as Hong Kong, the nearest-facility metric provides a consistent, behaviorally meaningful, and highly interpretable measure of immediate accessibility</w:t>
      </w:r>
      <w:r w:rsidRPr="00721AE3">
        <w:rPr>
          <w:rFonts w:ascii="Times New Roman" w:hAnsi="Times New Roman" w:cs="Times New Roman"/>
          <w:sz w:val="24"/>
          <w:szCs w:val="24"/>
        </w:rPr>
        <w:t xml:space="preserve">. </w:t>
      </w:r>
    </w:p>
    <w:p w14:paraId="64BFA0CA" w14:textId="7F8D416A" w:rsidR="00527899" w:rsidRPr="00721AE3" w:rsidRDefault="004139D6" w:rsidP="00CE2308">
      <w:pPr>
        <w:pStyle w:val="a9"/>
        <w:numPr>
          <w:ilvl w:val="0"/>
          <w:numId w:val="1"/>
        </w:numPr>
        <w:spacing w:line="360" w:lineRule="auto"/>
        <w:ind w:left="426" w:hanging="426"/>
        <w:jc w:val="both"/>
        <w:rPr>
          <w:rFonts w:ascii="Times New Roman" w:hAnsi="Times New Roman" w:cs="Times New Roman"/>
          <w:b/>
          <w:bCs/>
          <w:sz w:val="24"/>
          <w:szCs w:val="24"/>
        </w:rPr>
      </w:pPr>
      <w:r w:rsidRPr="00721AE3">
        <w:rPr>
          <w:rFonts w:ascii="Times New Roman" w:hAnsi="Times New Roman" w:cs="Times New Roman"/>
          <w:b/>
          <w:bCs/>
          <w:sz w:val="24"/>
          <w:szCs w:val="24"/>
        </w:rPr>
        <w:t xml:space="preserve">Method </w:t>
      </w:r>
    </w:p>
    <w:p w14:paraId="140C6DA6" w14:textId="77777777" w:rsidR="00624570" w:rsidRPr="00721AE3" w:rsidRDefault="00624570" w:rsidP="00CE2308">
      <w:pPr>
        <w:pStyle w:val="a9"/>
        <w:numPr>
          <w:ilvl w:val="1"/>
          <w:numId w:val="1"/>
        </w:numPr>
        <w:spacing w:line="360" w:lineRule="auto"/>
        <w:ind w:left="567" w:hanging="567"/>
        <w:jc w:val="both"/>
        <w:rPr>
          <w:rFonts w:ascii="Times New Roman" w:hAnsi="Times New Roman" w:cs="Times New Roman"/>
          <w:b/>
          <w:bCs/>
          <w:sz w:val="24"/>
          <w:szCs w:val="24"/>
        </w:rPr>
      </w:pPr>
      <w:r w:rsidRPr="00721AE3">
        <w:rPr>
          <w:rFonts w:ascii="Times New Roman" w:hAnsi="Times New Roman" w:cs="Times New Roman"/>
          <w:b/>
          <w:bCs/>
          <w:sz w:val="24"/>
          <w:szCs w:val="24"/>
        </w:rPr>
        <w:t>Study Area and Data</w:t>
      </w:r>
    </w:p>
    <w:p w14:paraId="6C9FD856" w14:textId="1665014E" w:rsidR="00CD7D05" w:rsidRPr="00721AE3" w:rsidRDefault="00A23CEA" w:rsidP="007A074F">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This study </w:t>
      </w:r>
      <w:r w:rsidR="00646013" w:rsidRPr="00721AE3">
        <w:rPr>
          <w:rFonts w:ascii="Times New Roman" w:hAnsi="Times New Roman" w:cs="Times New Roman"/>
          <w:sz w:val="24"/>
          <w:szCs w:val="24"/>
        </w:rPr>
        <w:t>focuses</w:t>
      </w:r>
      <w:r w:rsidR="00ED235B" w:rsidRPr="00721AE3">
        <w:rPr>
          <w:rFonts w:ascii="Times New Roman" w:hAnsi="Times New Roman" w:cs="Times New Roman"/>
          <w:sz w:val="24"/>
          <w:szCs w:val="24"/>
        </w:rPr>
        <w:t xml:space="preserve"> </w:t>
      </w:r>
      <w:r w:rsidR="00646013" w:rsidRPr="00721AE3">
        <w:rPr>
          <w:rFonts w:ascii="Times New Roman" w:hAnsi="Times New Roman" w:cs="Times New Roman"/>
          <w:sz w:val="24"/>
          <w:szCs w:val="24"/>
        </w:rPr>
        <w:t>o</w:t>
      </w:r>
      <w:r w:rsidR="00ED235B" w:rsidRPr="00721AE3">
        <w:rPr>
          <w:rFonts w:ascii="Times New Roman" w:hAnsi="Times New Roman" w:cs="Times New Roman"/>
          <w:sz w:val="24"/>
          <w:szCs w:val="24"/>
        </w:rPr>
        <w:t>n</w:t>
      </w:r>
      <w:r w:rsidRPr="00721AE3">
        <w:rPr>
          <w:rFonts w:ascii="Times New Roman" w:hAnsi="Times New Roman" w:cs="Times New Roman"/>
          <w:sz w:val="24"/>
          <w:szCs w:val="24"/>
        </w:rPr>
        <w:t xml:space="preserve"> Hong Kong, a highly compact </w:t>
      </w:r>
      <w:r w:rsidR="006B5B15" w:rsidRPr="00721AE3">
        <w:rPr>
          <w:rFonts w:ascii="Times New Roman" w:hAnsi="Times New Roman" w:cs="Times New Roman"/>
          <w:sz w:val="24"/>
          <w:szCs w:val="24"/>
        </w:rPr>
        <w:t>city</w:t>
      </w:r>
      <w:r w:rsidRPr="00721AE3">
        <w:rPr>
          <w:rFonts w:ascii="Times New Roman" w:hAnsi="Times New Roman" w:cs="Times New Roman"/>
          <w:sz w:val="24"/>
          <w:szCs w:val="24"/>
        </w:rPr>
        <w:t xml:space="preserve"> characterized by extreme population density, mixed land use, and pronounced spatial heterogeneity in access to urban amenities.</w:t>
      </w:r>
      <w:r w:rsidR="004820F5" w:rsidRPr="00721AE3">
        <w:rPr>
          <w:rFonts w:ascii="Times New Roman" w:hAnsi="Times New Roman" w:cs="Times New Roman"/>
          <w:sz w:val="24"/>
          <w:szCs w:val="24"/>
        </w:rPr>
        <w:t xml:space="preserve"> </w:t>
      </w:r>
      <w:r w:rsidR="00C02BCB" w:rsidRPr="00721AE3">
        <w:rPr>
          <w:rFonts w:ascii="Times New Roman" w:hAnsi="Times New Roman" w:cs="Times New Roman"/>
          <w:sz w:val="24"/>
          <w:szCs w:val="24"/>
        </w:rPr>
        <w:t xml:space="preserve">Beyond its exceptional density, Hong Kong exhibits a distinctive three-dimensional urban structure shaped by extensive high-rise development, steep topography, and interconnected multi-level pedestrian networks. In many districts, particularly on Hong Kong Island, accessibility is </w:t>
      </w:r>
      <w:r w:rsidR="00C02BCB" w:rsidRPr="00721AE3">
        <w:rPr>
          <w:rFonts w:ascii="Times New Roman" w:hAnsi="Times New Roman" w:cs="Times New Roman"/>
          <w:sz w:val="24"/>
          <w:szCs w:val="24"/>
        </w:rPr>
        <w:lastRenderedPageBreak/>
        <w:t xml:space="preserve">influenced not only by horizontal distance but also by elevation changes, vertical </w:t>
      </w:r>
      <w:r w:rsidR="000311DD" w:rsidRPr="00721AE3">
        <w:rPr>
          <w:rFonts w:ascii="Times New Roman" w:hAnsi="Times New Roman" w:cs="Times New Roman"/>
          <w:sz w:val="24"/>
          <w:szCs w:val="24"/>
        </w:rPr>
        <w:t>urban development</w:t>
      </w:r>
      <w:r w:rsidR="00C02BCB" w:rsidRPr="00721AE3">
        <w:rPr>
          <w:rFonts w:ascii="Times New Roman" w:hAnsi="Times New Roman" w:cs="Times New Roman"/>
          <w:sz w:val="24"/>
          <w:szCs w:val="24"/>
        </w:rPr>
        <w:t xml:space="preserve">, and pedestrian infrastructure. Consequently, actual walking routes often differ substantially from straight-line distances, making pedestrian walking network distance a more behaviorally </w:t>
      </w:r>
      <w:r w:rsidR="00B93CBE" w:rsidRPr="00721AE3">
        <w:rPr>
          <w:rFonts w:ascii="Times New Roman" w:hAnsi="Times New Roman" w:cs="Times New Roman"/>
          <w:sz w:val="24"/>
          <w:szCs w:val="24"/>
        </w:rPr>
        <w:t>realistic</w:t>
      </w:r>
      <w:r w:rsidR="00C02BCB" w:rsidRPr="00721AE3">
        <w:rPr>
          <w:rFonts w:ascii="Times New Roman" w:hAnsi="Times New Roman" w:cs="Times New Roman"/>
          <w:sz w:val="24"/>
          <w:szCs w:val="24"/>
        </w:rPr>
        <w:t xml:space="preserve"> measure of accessibility. This vertically integrated urban environment, where residential, commercial, and other land uses are closely interwoven across multiple spatial layers, provides a unique setting for examining how proximity to amenities is capitalized into property prices. These characteristics may compress both positive amenity effects and negative externalities into shorter</w:t>
      </w:r>
      <w:r w:rsidR="004B6432" w:rsidRPr="00721AE3">
        <w:rPr>
          <w:rFonts w:ascii="Times New Roman" w:hAnsi="Times New Roman" w:cs="Times New Roman"/>
          <w:sz w:val="24"/>
          <w:szCs w:val="24"/>
        </w:rPr>
        <w:t xml:space="preserve"> </w:t>
      </w:r>
      <w:r w:rsidR="00C02BCB" w:rsidRPr="00721AE3">
        <w:rPr>
          <w:rFonts w:ascii="Times New Roman" w:hAnsi="Times New Roman" w:cs="Times New Roman"/>
          <w:sz w:val="24"/>
          <w:szCs w:val="24"/>
        </w:rPr>
        <w:t xml:space="preserve">spatial ranges than those observed in lower-density cities. Such conditions </w:t>
      </w:r>
      <w:r w:rsidR="004B6432" w:rsidRPr="00721AE3">
        <w:rPr>
          <w:rFonts w:ascii="Times New Roman" w:hAnsi="Times New Roman" w:cs="Times New Roman"/>
          <w:sz w:val="24"/>
          <w:szCs w:val="24"/>
        </w:rPr>
        <w:t>provide an ideal setting</w:t>
      </w:r>
      <w:r w:rsidR="00C02BCB" w:rsidRPr="00721AE3">
        <w:rPr>
          <w:rFonts w:ascii="Times New Roman" w:hAnsi="Times New Roman" w:cs="Times New Roman"/>
          <w:sz w:val="24"/>
          <w:szCs w:val="24"/>
        </w:rPr>
        <w:t xml:space="preserve"> for analyzing non-linear distance</w:t>
      </w:r>
      <w:r w:rsidR="008F0CC7" w:rsidRPr="00721AE3">
        <w:rPr>
          <w:rFonts w:ascii="Times New Roman" w:hAnsi="Times New Roman" w:cs="Times New Roman"/>
          <w:sz w:val="24"/>
          <w:szCs w:val="24"/>
        </w:rPr>
        <w:t xml:space="preserve"> </w:t>
      </w:r>
      <w:r w:rsidR="00C02BCB" w:rsidRPr="00721AE3">
        <w:rPr>
          <w:rFonts w:ascii="Times New Roman" w:hAnsi="Times New Roman" w:cs="Times New Roman"/>
          <w:sz w:val="24"/>
          <w:szCs w:val="24"/>
        </w:rPr>
        <w:t>decay effects and identifying amenity-specific spatial thresholds in housing price formation</w:t>
      </w:r>
      <w:r w:rsidR="004820F5" w:rsidRPr="00721AE3">
        <w:rPr>
          <w:rFonts w:ascii="Times New Roman" w:hAnsi="Times New Roman" w:cs="Times New Roman"/>
          <w:sz w:val="24"/>
          <w:szCs w:val="24"/>
        </w:rPr>
        <w:t>.</w:t>
      </w:r>
    </w:p>
    <w:p w14:paraId="2E6C1B7D" w14:textId="7EC2DB6D" w:rsidR="001167A0" w:rsidRPr="00721AE3" w:rsidRDefault="000603E8" w:rsidP="0035503A">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The empirical analysis is based on a comprehensive dataset of property transactions covering the period </w:t>
      </w:r>
      <w:r w:rsidR="004B6432" w:rsidRPr="00721AE3">
        <w:rPr>
          <w:rFonts w:ascii="Times New Roman" w:hAnsi="Times New Roman" w:cs="Times New Roman"/>
          <w:sz w:val="24"/>
          <w:szCs w:val="24"/>
        </w:rPr>
        <w:t xml:space="preserve">from </w:t>
      </w:r>
      <w:r w:rsidRPr="00721AE3">
        <w:rPr>
          <w:rFonts w:ascii="Times New Roman" w:hAnsi="Times New Roman" w:cs="Times New Roman"/>
          <w:sz w:val="24"/>
          <w:szCs w:val="24"/>
        </w:rPr>
        <w:t>20</w:t>
      </w:r>
      <w:r w:rsidR="00FA75DC" w:rsidRPr="00721AE3">
        <w:rPr>
          <w:rFonts w:ascii="Times New Roman" w:hAnsi="Times New Roman" w:cs="Times New Roman"/>
          <w:sz w:val="24"/>
          <w:szCs w:val="24"/>
        </w:rPr>
        <w:t>12</w:t>
      </w:r>
      <w:r w:rsidR="004B6432" w:rsidRPr="00721AE3">
        <w:rPr>
          <w:rFonts w:ascii="Times New Roman" w:hAnsi="Times New Roman" w:cs="Times New Roman"/>
          <w:sz w:val="24"/>
          <w:szCs w:val="24"/>
        </w:rPr>
        <w:t xml:space="preserve"> to </w:t>
      </w:r>
      <w:r w:rsidRPr="00721AE3">
        <w:rPr>
          <w:rFonts w:ascii="Times New Roman" w:hAnsi="Times New Roman" w:cs="Times New Roman"/>
          <w:sz w:val="24"/>
          <w:szCs w:val="24"/>
        </w:rPr>
        <w:t xml:space="preserve">2020, capturing different phases of the property market cycle. </w:t>
      </w:r>
      <w:r w:rsidR="002C0131" w:rsidRPr="00721AE3">
        <w:rPr>
          <w:rFonts w:ascii="Times New Roman" w:hAnsi="Times New Roman" w:cs="Times New Roman"/>
          <w:sz w:val="24"/>
          <w:szCs w:val="24"/>
        </w:rPr>
        <w:t>Because the analysis pools transactions across these eight years, the estimated amenity thresholds represent average relationships over a period characterized by substantial temporal variation in Hong Kong’s property market. Consequently, time-varying macroeconomic and market conditions may be partly conflated with the estimated amenity effects</w:t>
      </w:r>
      <w:r w:rsidR="001F4496" w:rsidRPr="00721AE3">
        <w:rPr>
          <w:rFonts w:ascii="Times New Roman" w:hAnsi="Times New Roman" w:cs="Times New Roman"/>
          <w:sz w:val="24"/>
          <w:szCs w:val="24"/>
        </w:rPr>
        <w:t xml:space="preserve">. </w:t>
      </w:r>
      <w:r w:rsidR="009628EE" w:rsidRPr="00721AE3">
        <w:rPr>
          <w:rFonts w:ascii="Times New Roman" w:hAnsi="Times New Roman" w:cs="Times New Roman"/>
          <w:sz w:val="24"/>
          <w:szCs w:val="24"/>
        </w:rPr>
        <w:t>The data were subjected to systematic cleaning procedures to ensure reliability and consistency. Specifically, observations with missing values and logically invalid records, such as zero or negative housing prices and floor areas, were removed. To reduce the influence of extreme values, a percentile-based trimming procedure</w:t>
      </w:r>
      <w:r w:rsidR="001E6945" w:rsidRPr="00721AE3">
        <w:rPr>
          <w:rFonts w:ascii="Times New Roman" w:hAnsi="Times New Roman" w:cs="Times New Roman"/>
          <w:sz w:val="24"/>
          <w:szCs w:val="24"/>
        </w:rPr>
        <w:t xml:space="preserve"> was applied</w:t>
      </w:r>
      <w:r w:rsidR="00631344" w:rsidRPr="00721AE3">
        <w:rPr>
          <w:rFonts w:ascii="Times New Roman" w:hAnsi="Times New Roman" w:cs="Times New Roman"/>
          <w:sz w:val="24"/>
          <w:szCs w:val="24"/>
        </w:rPr>
        <w:t>,</w:t>
      </w:r>
      <w:r w:rsidR="009628EE" w:rsidRPr="00721AE3">
        <w:rPr>
          <w:rFonts w:ascii="Times New Roman" w:hAnsi="Times New Roman" w:cs="Times New Roman"/>
          <w:sz w:val="24"/>
          <w:szCs w:val="24"/>
        </w:rPr>
        <w:t xml:space="preserve"> and transactions in the bottom 1</w:t>
      </w:r>
      <w:r w:rsidR="009628EE" w:rsidRPr="00721AE3">
        <w:rPr>
          <w:rFonts w:ascii="Times New Roman" w:hAnsi="Times New Roman" w:cs="Times New Roman"/>
          <w:sz w:val="24"/>
          <w:szCs w:val="24"/>
          <w:vertAlign w:val="superscript"/>
        </w:rPr>
        <w:t>st</w:t>
      </w:r>
      <w:r w:rsidR="00F30C36" w:rsidRPr="00721AE3">
        <w:rPr>
          <w:rFonts w:ascii="Times New Roman" w:hAnsi="Times New Roman" w:cs="Times New Roman"/>
          <w:sz w:val="24"/>
          <w:szCs w:val="24"/>
        </w:rPr>
        <w:t xml:space="preserve"> </w:t>
      </w:r>
      <w:r w:rsidR="009628EE" w:rsidRPr="00721AE3">
        <w:rPr>
          <w:rFonts w:ascii="Times New Roman" w:hAnsi="Times New Roman" w:cs="Times New Roman"/>
          <w:sz w:val="24"/>
          <w:szCs w:val="24"/>
        </w:rPr>
        <w:t>percentile and top 99</w:t>
      </w:r>
      <w:r w:rsidR="009628EE" w:rsidRPr="00721AE3">
        <w:rPr>
          <w:rFonts w:ascii="Times New Roman" w:hAnsi="Times New Roman" w:cs="Times New Roman"/>
          <w:sz w:val="24"/>
          <w:szCs w:val="24"/>
          <w:vertAlign w:val="superscript"/>
        </w:rPr>
        <w:t>th</w:t>
      </w:r>
      <w:r w:rsidR="007B0BFB" w:rsidRPr="00721AE3">
        <w:rPr>
          <w:rFonts w:ascii="Times New Roman" w:hAnsi="Times New Roman" w:cs="Times New Roman"/>
          <w:sz w:val="24"/>
          <w:szCs w:val="24"/>
        </w:rPr>
        <w:t xml:space="preserve"> </w:t>
      </w:r>
      <w:r w:rsidR="009628EE" w:rsidRPr="00721AE3">
        <w:rPr>
          <w:rFonts w:ascii="Times New Roman" w:hAnsi="Times New Roman" w:cs="Times New Roman"/>
          <w:sz w:val="24"/>
          <w:szCs w:val="24"/>
        </w:rPr>
        <w:t>percentile of the unit housing price distribution</w:t>
      </w:r>
      <w:r w:rsidR="00631344" w:rsidRPr="00721AE3">
        <w:rPr>
          <w:rFonts w:ascii="Times New Roman" w:hAnsi="Times New Roman" w:cs="Times New Roman"/>
          <w:sz w:val="24"/>
          <w:szCs w:val="24"/>
        </w:rPr>
        <w:t xml:space="preserve"> were excluded</w:t>
      </w:r>
      <w:r w:rsidR="009628EE" w:rsidRPr="00721AE3">
        <w:rPr>
          <w:rFonts w:ascii="Times New Roman" w:hAnsi="Times New Roman" w:cs="Times New Roman"/>
          <w:sz w:val="24"/>
          <w:szCs w:val="24"/>
        </w:rPr>
        <w:t xml:space="preserve">. This approach is widely used in empirical housing and hedonic pricing studies as a transparent, data-driven method for mitigating the influence of outliers while preserving the underlying distribution of valid market transactions. After these cleaning procedures, </w:t>
      </w:r>
      <w:r w:rsidRPr="00721AE3">
        <w:rPr>
          <w:rFonts w:ascii="Times New Roman" w:hAnsi="Times New Roman" w:cs="Times New Roman"/>
          <w:sz w:val="24"/>
          <w:szCs w:val="24"/>
        </w:rPr>
        <w:lastRenderedPageBreak/>
        <w:t xml:space="preserve">the final dataset consists of </w:t>
      </w:r>
      <w:r w:rsidR="005E08ED" w:rsidRPr="00721AE3">
        <w:rPr>
          <w:rFonts w:ascii="Times New Roman" w:hAnsi="Times New Roman" w:cs="Times New Roman"/>
          <w:sz w:val="24"/>
          <w:szCs w:val="24"/>
        </w:rPr>
        <w:t>722</w:t>
      </w:r>
      <w:r w:rsidR="00173334" w:rsidRPr="00721AE3">
        <w:rPr>
          <w:rFonts w:ascii="Times New Roman" w:hAnsi="Times New Roman" w:cs="Times New Roman"/>
          <w:sz w:val="24"/>
          <w:szCs w:val="24"/>
        </w:rPr>
        <w:t>,244</w:t>
      </w:r>
      <w:r w:rsidR="00FA75DC"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valid </w:t>
      </w:r>
      <w:r w:rsidR="006F6D1F" w:rsidRPr="00721AE3">
        <w:rPr>
          <w:rFonts w:ascii="Times New Roman" w:hAnsi="Times New Roman" w:cs="Times New Roman"/>
          <w:sz w:val="24"/>
          <w:szCs w:val="24"/>
        </w:rPr>
        <w:t xml:space="preserve">housing </w:t>
      </w:r>
      <w:r w:rsidRPr="00721AE3">
        <w:rPr>
          <w:rFonts w:ascii="Times New Roman" w:hAnsi="Times New Roman" w:cs="Times New Roman"/>
          <w:sz w:val="24"/>
          <w:szCs w:val="24"/>
        </w:rPr>
        <w:t>transactions, providing a large and robust sample for machine</w:t>
      </w:r>
      <w:r w:rsidR="0042244A" w:rsidRPr="00721AE3">
        <w:rPr>
          <w:rFonts w:ascii="Times New Roman" w:hAnsi="Times New Roman" w:cs="Times New Roman"/>
          <w:sz w:val="24"/>
          <w:szCs w:val="24"/>
        </w:rPr>
        <w:t>-</w:t>
      </w:r>
      <w:r w:rsidRPr="00721AE3">
        <w:rPr>
          <w:rFonts w:ascii="Times New Roman" w:hAnsi="Times New Roman" w:cs="Times New Roman"/>
          <w:sz w:val="24"/>
          <w:szCs w:val="24"/>
        </w:rPr>
        <w:t>learning–based modeling.</w:t>
      </w:r>
      <w:r w:rsidR="00E52A81" w:rsidRPr="00721AE3">
        <w:rPr>
          <w:rFonts w:ascii="Times New Roman" w:hAnsi="Times New Roman" w:cs="Times New Roman"/>
          <w:sz w:val="24"/>
          <w:szCs w:val="24"/>
        </w:rPr>
        <w:t xml:space="preserve"> Fig 1 shows the spatial distribution of housing prices in Hong Kong from 2012 to 2020</w:t>
      </w:r>
      <w:r w:rsidR="000173F8" w:rsidRPr="00721AE3">
        <w:rPr>
          <w:rFonts w:ascii="Times New Roman" w:hAnsi="Times New Roman" w:cs="Times New Roman"/>
          <w:sz w:val="24"/>
          <w:szCs w:val="24"/>
        </w:rPr>
        <w:t>.</w:t>
      </w:r>
    </w:p>
    <w:p w14:paraId="171878BE" w14:textId="0A7FF1E4" w:rsidR="006F6D1F" w:rsidRPr="00721AE3" w:rsidRDefault="00BD45C5" w:rsidP="0035503A">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The set of explanatory variables is designed to capture key determinants of property values, with a particular emphasis on accessibility to amenities. Structural characteristics include </w:t>
      </w:r>
      <w:r w:rsidR="00BA7CD9" w:rsidRPr="00721AE3">
        <w:rPr>
          <w:rFonts w:ascii="Times New Roman" w:hAnsi="Times New Roman" w:cs="Times New Roman"/>
          <w:sz w:val="24"/>
          <w:szCs w:val="24"/>
        </w:rPr>
        <w:t xml:space="preserve">key </w:t>
      </w:r>
      <w:r w:rsidRPr="00721AE3">
        <w:rPr>
          <w:rFonts w:ascii="Times New Roman" w:hAnsi="Times New Roman" w:cs="Times New Roman"/>
          <w:sz w:val="24"/>
          <w:szCs w:val="24"/>
        </w:rPr>
        <w:t xml:space="preserve">property attributes such as the number of bedrooms and living rooms, which are widely recognized determinants of </w:t>
      </w:r>
      <w:r w:rsidR="00A82346" w:rsidRPr="00721AE3">
        <w:rPr>
          <w:rFonts w:ascii="Times New Roman" w:hAnsi="Times New Roman" w:cs="Times New Roman"/>
          <w:sz w:val="24"/>
          <w:szCs w:val="24"/>
        </w:rPr>
        <w:t>housing</w:t>
      </w:r>
      <w:r w:rsidRPr="00721AE3">
        <w:rPr>
          <w:rFonts w:ascii="Times New Roman" w:hAnsi="Times New Roman" w:cs="Times New Roman"/>
          <w:sz w:val="24"/>
          <w:szCs w:val="24"/>
        </w:rPr>
        <w:t xml:space="preserve"> prices (</w:t>
      </w:r>
      <w:r w:rsidR="00552E18" w:rsidRPr="00721AE3">
        <w:rPr>
          <w:rFonts w:ascii="Times New Roman" w:hAnsi="Times New Roman" w:cs="Times New Roman"/>
          <w:sz w:val="24"/>
          <w:szCs w:val="24"/>
        </w:rPr>
        <w:t xml:space="preserve">Jim &amp; Chen, 2006; </w:t>
      </w:r>
      <w:r w:rsidR="005415F6" w:rsidRPr="00721AE3">
        <w:rPr>
          <w:rFonts w:ascii="Times New Roman" w:hAnsi="Times New Roman" w:cs="Times New Roman"/>
          <w:sz w:val="24"/>
          <w:szCs w:val="24"/>
        </w:rPr>
        <w:t>Lee et al., 2025</w:t>
      </w:r>
      <w:r w:rsidRPr="00721AE3">
        <w:rPr>
          <w:rFonts w:ascii="Times New Roman" w:hAnsi="Times New Roman" w:cs="Times New Roman"/>
          <w:sz w:val="24"/>
          <w:szCs w:val="24"/>
        </w:rPr>
        <w:t>).</w:t>
      </w:r>
      <w:r w:rsidR="0005050F" w:rsidRPr="00721AE3">
        <w:rPr>
          <w:rFonts w:ascii="Times New Roman" w:hAnsi="Times New Roman" w:cs="Times New Roman"/>
          <w:sz w:val="24"/>
          <w:szCs w:val="24"/>
        </w:rPr>
        <w:t xml:space="preserve"> </w:t>
      </w:r>
      <w:r w:rsidR="00C70CB9" w:rsidRPr="00721AE3">
        <w:rPr>
          <w:rFonts w:ascii="Times New Roman" w:hAnsi="Times New Roman" w:cs="Times New Roman"/>
          <w:sz w:val="24"/>
          <w:szCs w:val="24"/>
        </w:rPr>
        <w:t xml:space="preserve">In addition, property usage type is included as a control variable to account for systematic differences in pricing structures, market segmentation, </w:t>
      </w:r>
      <w:r w:rsidR="00D25BAB" w:rsidRPr="00721AE3">
        <w:rPr>
          <w:rFonts w:ascii="Times New Roman" w:hAnsi="Times New Roman" w:cs="Times New Roman"/>
          <w:sz w:val="24"/>
          <w:szCs w:val="24"/>
        </w:rPr>
        <w:t>and property functions across residential, commercial, office, and industrial properties</w:t>
      </w:r>
      <w:r w:rsidR="00C70CB9" w:rsidRPr="00721AE3">
        <w:rPr>
          <w:rFonts w:ascii="Times New Roman" w:hAnsi="Times New Roman" w:cs="Times New Roman"/>
          <w:sz w:val="24"/>
          <w:szCs w:val="24"/>
        </w:rPr>
        <w:t xml:space="preserve">. While certain property categories may be more likely to </w:t>
      </w:r>
      <w:r w:rsidR="009E345E" w:rsidRPr="00721AE3">
        <w:rPr>
          <w:rFonts w:ascii="Times New Roman" w:hAnsi="Times New Roman" w:cs="Times New Roman"/>
          <w:sz w:val="24"/>
          <w:szCs w:val="24"/>
        </w:rPr>
        <w:t>be located</w:t>
      </w:r>
      <w:r w:rsidR="00C70CB9" w:rsidRPr="00721AE3">
        <w:rPr>
          <w:rFonts w:ascii="Times New Roman" w:hAnsi="Times New Roman" w:cs="Times New Roman"/>
          <w:sz w:val="24"/>
          <w:szCs w:val="24"/>
        </w:rPr>
        <w:t xml:space="preserve"> near specific amenities, diagnostic tests indicate that multicollinearity is not a concern (see Appendix 1). </w:t>
      </w:r>
      <w:r w:rsidR="006530BF" w:rsidRPr="00721AE3">
        <w:rPr>
          <w:rFonts w:ascii="Times New Roman" w:hAnsi="Times New Roman" w:cs="Times New Roman"/>
          <w:sz w:val="24"/>
          <w:szCs w:val="24"/>
        </w:rPr>
        <w:t>Accordingly, these controls help isolate locational accessibility from systematic differences across property types. Nonetheless, pooling residential, commercial, office, and industrial transactions into a single model, distinguished only by this categorical usage control, implicitly assumes that the general functional form of amenity capitalization is sufficiently comparable across property-market segments that may have different valuation mechanisms</w:t>
      </w:r>
      <w:r w:rsidR="00AC43EC" w:rsidRPr="00721AE3">
        <w:rPr>
          <w:rFonts w:ascii="Times New Roman" w:hAnsi="Times New Roman" w:cs="Times New Roman"/>
          <w:sz w:val="24"/>
          <w:szCs w:val="24"/>
        </w:rPr>
        <w:t>.</w:t>
      </w:r>
    </w:p>
    <w:p w14:paraId="0601D112" w14:textId="2DF0CFE1" w:rsidR="00A218E5" w:rsidRPr="00721AE3" w:rsidRDefault="00A218E5" w:rsidP="0035503A">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A central component of this study is </w:t>
      </w:r>
      <w:r w:rsidR="00044355" w:rsidRPr="00721AE3">
        <w:rPr>
          <w:rFonts w:ascii="Times New Roman" w:hAnsi="Times New Roman" w:cs="Times New Roman"/>
          <w:sz w:val="24"/>
          <w:szCs w:val="24"/>
        </w:rPr>
        <w:t>measuring</w:t>
      </w:r>
      <w:r w:rsidRPr="00721AE3">
        <w:rPr>
          <w:rFonts w:ascii="Times New Roman" w:hAnsi="Times New Roman" w:cs="Times New Roman"/>
          <w:sz w:val="24"/>
          <w:szCs w:val="24"/>
        </w:rPr>
        <w:t xml:space="preserve"> amenity accessibility, operationalized as the distance from each property to the nearest facility. This approach is consistent with </w:t>
      </w:r>
      <w:r w:rsidR="002410D5" w:rsidRPr="00721AE3">
        <w:rPr>
          <w:rFonts w:ascii="Times New Roman" w:hAnsi="Times New Roman" w:cs="Times New Roman"/>
          <w:sz w:val="24"/>
          <w:szCs w:val="24"/>
        </w:rPr>
        <w:t xml:space="preserve">a substantial body of literature </w:t>
      </w:r>
      <w:r w:rsidR="00DF65CD" w:rsidRPr="00721AE3">
        <w:rPr>
          <w:rFonts w:ascii="Times New Roman" w:hAnsi="Times New Roman" w:cs="Times New Roman"/>
          <w:sz w:val="24"/>
          <w:szCs w:val="24"/>
        </w:rPr>
        <w:t>showing that</w:t>
      </w:r>
      <w:r w:rsidR="006060E6" w:rsidRPr="00721AE3">
        <w:rPr>
          <w:rFonts w:ascii="Times New Roman" w:hAnsi="Times New Roman" w:cs="Times New Roman"/>
          <w:sz w:val="24"/>
          <w:szCs w:val="24"/>
        </w:rPr>
        <w:t xml:space="preserve"> spatial proximity to amenities plays a key role in determining property values</w:t>
      </w:r>
      <w:r w:rsidR="002410D5" w:rsidRPr="00721AE3">
        <w:rPr>
          <w:rFonts w:ascii="Times New Roman" w:hAnsi="Times New Roman" w:cs="Times New Roman"/>
          <w:sz w:val="24"/>
          <w:szCs w:val="24"/>
        </w:rPr>
        <w:t xml:space="preserve"> </w:t>
      </w:r>
      <w:r w:rsidRPr="00721AE3">
        <w:rPr>
          <w:rFonts w:ascii="Times New Roman" w:hAnsi="Times New Roman" w:cs="Times New Roman"/>
          <w:sz w:val="24"/>
          <w:szCs w:val="24"/>
        </w:rPr>
        <w:t>(</w:t>
      </w:r>
      <w:r w:rsidR="006D7A0F" w:rsidRPr="00721AE3">
        <w:rPr>
          <w:rFonts w:ascii="Times New Roman" w:hAnsi="Times New Roman" w:cs="Times New Roman"/>
          <w:sz w:val="24"/>
          <w:szCs w:val="24"/>
        </w:rPr>
        <w:t>Chen et al., 2025;</w:t>
      </w:r>
      <w:r w:rsidR="004D1F75" w:rsidRPr="00721AE3">
        <w:rPr>
          <w:rFonts w:ascii="Times New Roman" w:hAnsi="Times New Roman" w:cs="Times New Roman"/>
          <w:sz w:val="24"/>
          <w:szCs w:val="24"/>
        </w:rPr>
        <w:t xml:space="preserve"> Lee et al., 2025</w:t>
      </w:r>
      <w:r w:rsidRPr="00721AE3">
        <w:rPr>
          <w:rFonts w:ascii="Times New Roman" w:hAnsi="Times New Roman" w:cs="Times New Roman"/>
          <w:sz w:val="24"/>
          <w:szCs w:val="24"/>
        </w:rPr>
        <w:t>). To capture the multidimensional nature of urban environments, amenities are grouped into several categories.</w:t>
      </w:r>
      <w:r w:rsidR="00C23B82" w:rsidRPr="00721AE3">
        <w:rPr>
          <w:rFonts w:ascii="Times New Roman" w:hAnsi="Times New Roman" w:cs="Times New Roman"/>
          <w:sz w:val="24"/>
          <w:szCs w:val="24"/>
        </w:rPr>
        <w:t xml:space="preserve"> These categories are selected based on their established relevance in the housing valuation literature.</w:t>
      </w:r>
    </w:p>
    <w:p w14:paraId="74D72BFE" w14:textId="41BAFA2D" w:rsidR="001C3F4B" w:rsidRPr="00721AE3" w:rsidRDefault="00320D17" w:rsidP="0035503A">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 xml:space="preserve">Educational </w:t>
      </w:r>
      <w:r w:rsidR="00246895" w:rsidRPr="00721AE3">
        <w:rPr>
          <w:rFonts w:ascii="Times New Roman" w:hAnsi="Times New Roman" w:cs="Times New Roman"/>
          <w:sz w:val="24"/>
          <w:szCs w:val="24"/>
        </w:rPr>
        <w:t>facilities</w:t>
      </w:r>
      <w:r w:rsidRPr="00721AE3">
        <w:rPr>
          <w:rFonts w:ascii="Times New Roman" w:hAnsi="Times New Roman" w:cs="Times New Roman"/>
          <w:sz w:val="24"/>
          <w:szCs w:val="24"/>
        </w:rPr>
        <w:t>, including primary</w:t>
      </w:r>
      <w:r w:rsidR="002C1511" w:rsidRPr="00721AE3">
        <w:rPr>
          <w:rFonts w:ascii="Times New Roman" w:hAnsi="Times New Roman" w:cs="Times New Roman"/>
          <w:sz w:val="24"/>
          <w:szCs w:val="24"/>
        </w:rPr>
        <w:t xml:space="preserve"> school</w:t>
      </w:r>
      <w:r w:rsidR="00666B04" w:rsidRPr="00721AE3">
        <w:rPr>
          <w:rFonts w:ascii="Times New Roman" w:hAnsi="Times New Roman" w:cs="Times New Roman"/>
          <w:sz w:val="24"/>
          <w:szCs w:val="24"/>
        </w:rPr>
        <w:t>s</w:t>
      </w:r>
      <w:r w:rsidRPr="00721AE3">
        <w:rPr>
          <w:rFonts w:ascii="Times New Roman" w:hAnsi="Times New Roman" w:cs="Times New Roman"/>
          <w:sz w:val="24"/>
          <w:szCs w:val="24"/>
        </w:rPr>
        <w:t xml:space="preserve">, </w:t>
      </w:r>
      <w:r w:rsidR="00F93CA6" w:rsidRPr="00721AE3">
        <w:rPr>
          <w:rFonts w:ascii="Times New Roman" w:hAnsi="Times New Roman" w:cs="Times New Roman"/>
          <w:sz w:val="24"/>
          <w:szCs w:val="24"/>
        </w:rPr>
        <w:t>secondary</w:t>
      </w:r>
      <w:r w:rsidR="002C1511" w:rsidRPr="00721AE3">
        <w:rPr>
          <w:rFonts w:ascii="Times New Roman" w:hAnsi="Times New Roman" w:cs="Times New Roman"/>
          <w:sz w:val="24"/>
          <w:szCs w:val="24"/>
        </w:rPr>
        <w:t xml:space="preserve"> school</w:t>
      </w:r>
      <w:r w:rsidR="00666B04" w:rsidRPr="00721AE3">
        <w:rPr>
          <w:rFonts w:ascii="Times New Roman" w:hAnsi="Times New Roman" w:cs="Times New Roman"/>
          <w:sz w:val="24"/>
          <w:szCs w:val="24"/>
        </w:rPr>
        <w:t>s</w:t>
      </w:r>
      <w:r w:rsidRPr="00721AE3">
        <w:rPr>
          <w:rFonts w:ascii="Times New Roman" w:hAnsi="Times New Roman" w:cs="Times New Roman"/>
          <w:sz w:val="24"/>
          <w:szCs w:val="24"/>
        </w:rPr>
        <w:t xml:space="preserve">, and </w:t>
      </w:r>
      <w:r w:rsidR="002C1511" w:rsidRPr="00721AE3">
        <w:rPr>
          <w:rFonts w:ascii="Times New Roman" w:hAnsi="Times New Roman" w:cs="Times New Roman"/>
          <w:sz w:val="24"/>
          <w:szCs w:val="24"/>
        </w:rPr>
        <w:t>universities</w:t>
      </w:r>
      <w:r w:rsidRPr="00721AE3">
        <w:rPr>
          <w:rFonts w:ascii="Times New Roman" w:hAnsi="Times New Roman" w:cs="Times New Roman"/>
          <w:sz w:val="24"/>
          <w:szCs w:val="24"/>
        </w:rPr>
        <w:t>, are incorporated due to their strong influence on location desirability and housing demand (</w:t>
      </w:r>
      <w:r w:rsidR="00994298" w:rsidRPr="00721AE3">
        <w:rPr>
          <w:rFonts w:ascii="Times New Roman" w:hAnsi="Times New Roman" w:cs="Times New Roman"/>
          <w:sz w:val="24"/>
          <w:szCs w:val="24"/>
        </w:rPr>
        <w:t xml:space="preserve">Feng &amp; Lu, 2013; </w:t>
      </w:r>
      <w:r w:rsidRPr="00721AE3">
        <w:rPr>
          <w:rFonts w:ascii="Times New Roman" w:hAnsi="Times New Roman" w:cs="Times New Roman"/>
          <w:sz w:val="24"/>
          <w:szCs w:val="24"/>
        </w:rPr>
        <w:t>Wen et al., 2019). Transport accessibility is measured through distances to bus stops and metro stations, reflecting the critical role of public transit in shaping accessibility and property values in dense cities (</w:t>
      </w:r>
      <w:r w:rsidR="00AF1BF9" w:rsidRPr="00721AE3">
        <w:rPr>
          <w:rFonts w:ascii="Times New Roman" w:hAnsi="Times New Roman" w:cs="Times New Roman"/>
          <w:sz w:val="24"/>
          <w:szCs w:val="24"/>
        </w:rPr>
        <w:t>Lieske et al., 2019</w:t>
      </w:r>
      <w:r w:rsidR="007E10A2" w:rsidRPr="00721AE3">
        <w:rPr>
          <w:rFonts w:ascii="Times New Roman" w:hAnsi="Times New Roman" w:cs="Times New Roman"/>
          <w:sz w:val="24"/>
          <w:szCs w:val="24"/>
        </w:rPr>
        <w:t xml:space="preserve">; Wadu </w:t>
      </w:r>
      <w:r w:rsidR="00CA486A" w:rsidRPr="00721AE3">
        <w:rPr>
          <w:rFonts w:ascii="Times New Roman" w:hAnsi="Times New Roman" w:cs="Times New Roman"/>
          <w:sz w:val="24"/>
          <w:szCs w:val="24"/>
        </w:rPr>
        <w:t>Mest</w:t>
      </w:r>
      <w:r w:rsidR="0098294A" w:rsidRPr="00721AE3">
        <w:rPr>
          <w:rFonts w:ascii="Times New Roman" w:hAnsi="Times New Roman" w:cs="Times New Roman"/>
          <w:sz w:val="24"/>
          <w:szCs w:val="24"/>
        </w:rPr>
        <w:t xml:space="preserve">hrige </w:t>
      </w:r>
      <w:r w:rsidR="007E10A2" w:rsidRPr="00721AE3">
        <w:rPr>
          <w:rFonts w:ascii="Times New Roman" w:hAnsi="Times New Roman" w:cs="Times New Roman"/>
          <w:sz w:val="24"/>
          <w:szCs w:val="24"/>
        </w:rPr>
        <w:t>&amp; Maqsood</w:t>
      </w:r>
      <w:r w:rsidR="008B5D62" w:rsidRPr="00721AE3">
        <w:rPr>
          <w:rFonts w:ascii="Times New Roman" w:hAnsi="Times New Roman" w:cs="Times New Roman"/>
          <w:sz w:val="24"/>
          <w:szCs w:val="24"/>
        </w:rPr>
        <w:t xml:space="preserve">, </w:t>
      </w:r>
      <w:r w:rsidR="007E10A2" w:rsidRPr="00721AE3">
        <w:rPr>
          <w:rFonts w:ascii="Times New Roman" w:hAnsi="Times New Roman" w:cs="Times New Roman"/>
          <w:sz w:val="24"/>
          <w:szCs w:val="24"/>
        </w:rPr>
        <w:t>2022</w:t>
      </w:r>
      <w:r w:rsidRPr="00721AE3">
        <w:rPr>
          <w:rFonts w:ascii="Times New Roman" w:hAnsi="Times New Roman" w:cs="Times New Roman"/>
          <w:sz w:val="24"/>
          <w:szCs w:val="24"/>
        </w:rPr>
        <w:t>).</w:t>
      </w:r>
      <w:r w:rsidR="001C3F4B" w:rsidRPr="00721AE3">
        <w:rPr>
          <w:rFonts w:ascii="Times New Roman" w:hAnsi="Times New Roman" w:cs="Times New Roman"/>
          <w:sz w:val="24"/>
          <w:szCs w:val="24"/>
        </w:rPr>
        <w:t xml:space="preserve"> Natural and recreational amenities, such as green spaces, scenic spots, and leisure </w:t>
      </w:r>
      <w:r w:rsidR="0098294A" w:rsidRPr="00721AE3">
        <w:rPr>
          <w:rFonts w:ascii="Times New Roman" w:hAnsi="Times New Roman" w:cs="Times New Roman"/>
          <w:sz w:val="24"/>
          <w:szCs w:val="24"/>
        </w:rPr>
        <w:t>and</w:t>
      </w:r>
      <w:r w:rsidR="001C3F4B" w:rsidRPr="00721AE3">
        <w:rPr>
          <w:rFonts w:ascii="Times New Roman" w:hAnsi="Times New Roman" w:cs="Times New Roman"/>
          <w:sz w:val="24"/>
          <w:szCs w:val="24"/>
        </w:rPr>
        <w:t xml:space="preserve"> sports facilities, are included given their contribution to urban livability (</w:t>
      </w:r>
      <w:r w:rsidR="00A86AC1" w:rsidRPr="00721AE3">
        <w:rPr>
          <w:rFonts w:ascii="Times New Roman" w:hAnsi="Times New Roman" w:cs="Times New Roman"/>
          <w:sz w:val="24"/>
          <w:szCs w:val="24"/>
        </w:rPr>
        <w:t xml:space="preserve">Feng &amp; Humphreys, 2012; </w:t>
      </w:r>
      <w:r w:rsidR="00A92C15" w:rsidRPr="00721AE3">
        <w:rPr>
          <w:rFonts w:ascii="Times New Roman" w:hAnsi="Times New Roman" w:cs="Times New Roman"/>
          <w:sz w:val="24"/>
          <w:szCs w:val="24"/>
        </w:rPr>
        <w:t xml:space="preserve">Keeler et al., 2021; </w:t>
      </w:r>
      <w:r w:rsidR="00C42660" w:rsidRPr="00721AE3">
        <w:rPr>
          <w:rFonts w:ascii="Times New Roman" w:hAnsi="Times New Roman" w:cs="Times New Roman"/>
          <w:sz w:val="24"/>
          <w:szCs w:val="24"/>
        </w:rPr>
        <w:t>Dou et al., 2023</w:t>
      </w:r>
      <w:r w:rsidR="001C3F4B" w:rsidRPr="00721AE3">
        <w:rPr>
          <w:rFonts w:ascii="Times New Roman" w:hAnsi="Times New Roman" w:cs="Times New Roman"/>
          <w:sz w:val="24"/>
          <w:szCs w:val="24"/>
        </w:rPr>
        <w:t>).</w:t>
      </w:r>
    </w:p>
    <w:p w14:paraId="158A7AD4" w14:textId="330DB5D6" w:rsidR="0047156A" w:rsidRPr="00721AE3" w:rsidRDefault="001C3F4B" w:rsidP="0035503A">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Healthcare</w:t>
      </w:r>
      <w:r w:rsidR="00D84BD6" w:rsidRPr="00721AE3">
        <w:rPr>
          <w:rFonts w:ascii="Times New Roman" w:hAnsi="Times New Roman" w:cs="Times New Roman"/>
          <w:sz w:val="24"/>
          <w:szCs w:val="24"/>
        </w:rPr>
        <w:t xml:space="preserve"> facilities</w:t>
      </w:r>
      <w:r w:rsidRPr="00721AE3">
        <w:rPr>
          <w:rFonts w:ascii="Times New Roman" w:hAnsi="Times New Roman" w:cs="Times New Roman"/>
          <w:sz w:val="24"/>
          <w:szCs w:val="24"/>
        </w:rPr>
        <w:t>, including hospitals</w:t>
      </w:r>
      <w:r w:rsidR="00230D4D" w:rsidRPr="00721AE3">
        <w:rPr>
          <w:rFonts w:ascii="Times New Roman" w:hAnsi="Times New Roman" w:cs="Times New Roman"/>
          <w:sz w:val="24"/>
          <w:szCs w:val="24"/>
        </w:rPr>
        <w:t xml:space="preserve"> and</w:t>
      </w:r>
      <w:r w:rsidRPr="00721AE3">
        <w:rPr>
          <w:rFonts w:ascii="Times New Roman" w:hAnsi="Times New Roman" w:cs="Times New Roman"/>
          <w:sz w:val="24"/>
          <w:szCs w:val="24"/>
        </w:rPr>
        <w:t xml:space="preserve"> clinics,</w:t>
      </w:r>
      <w:r w:rsidR="006B2197" w:rsidRPr="00721AE3">
        <w:rPr>
          <w:rFonts w:ascii="Times New Roman" w:hAnsi="Times New Roman" w:cs="Times New Roman"/>
          <w:sz w:val="24"/>
          <w:szCs w:val="24"/>
        </w:rPr>
        <w:t xml:space="preserve"> </w:t>
      </w:r>
      <w:r w:rsidR="00F9390E" w:rsidRPr="00721AE3">
        <w:rPr>
          <w:rFonts w:ascii="Times New Roman" w:hAnsi="Times New Roman" w:cs="Times New Roman"/>
          <w:sz w:val="24"/>
          <w:szCs w:val="24"/>
        </w:rPr>
        <w:t xml:space="preserve">are </w:t>
      </w:r>
      <w:r w:rsidR="006B2197" w:rsidRPr="00721AE3">
        <w:rPr>
          <w:rFonts w:ascii="Times New Roman" w:hAnsi="Times New Roman" w:cs="Times New Roman"/>
          <w:sz w:val="24"/>
          <w:szCs w:val="24"/>
        </w:rPr>
        <w:t>considered essential service</w:t>
      </w:r>
      <w:r w:rsidR="00F156F1" w:rsidRPr="00721AE3">
        <w:rPr>
          <w:rFonts w:ascii="Times New Roman" w:hAnsi="Times New Roman" w:cs="Times New Roman"/>
          <w:sz w:val="24"/>
          <w:szCs w:val="24"/>
        </w:rPr>
        <w:t>s</w:t>
      </w:r>
      <w:r w:rsidR="006B2197" w:rsidRPr="00721AE3">
        <w:rPr>
          <w:rFonts w:ascii="Times New Roman" w:hAnsi="Times New Roman" w:cs="Times New Roman"/>
          <w:sz w:val="24"/>
          <w:szCs w:val="24"/>
        </w:rPr>
        <w:t xml:space="preserve"> that influence neighborhood attractiveness and housing prices</w:t>
      </w:r>
      <w:r w:rsidRPr="00721AE3">
        <w:rPr>
          <w:rFonts w:ascii="Times New Roman" w:hAnsi="Times New Roman" w:cs="Times New Roman"/>
          <w:sz w:val="24"/>
          <w:szCs w:val="24"/>
        </w:rPr>
        <w:t xml:space="preserve"> (</w:t>
      </w:r>
      <w:r w:rsidR="002821FD" w:rsidRPr="00721AE3">
        <w:rPr>
          <w:rFonts w:ascii="Times New Roman" w:hAnsi="Times New Roman" w:cs="Times New Roman"/>
          <w:sz w:val="24"/>
          <w:szCs w:val="24"/>
        </w:rPr>
        <w:t xml:space="preserve">Gu et al., 2024; </w:t>
      </w:r>
      <w:r w:rsidR="00044355" w:rsidRPr="00721AE3">
        <w:rPr>
          <w:rFonts w:ascii="Times New Roman" w:hAnsi="Times New Roman" w:cs="Times New Roman"/>
          <w:sz w:val="24"/>
          <w:szCs w:val="24"/>
        </w:rPr>
        <w:t>Lee et al., 2025</w:t>
      </w:r>
      <w:r w:rsidRPr="00721AE3">
        <w:rPr>
          <w:rFonts w:ascii="Times New Roman" w:hAnsi="Times New Roman" w:cs="Times New Roman"/>
          <w:sz w:val="24"/>
          <w:szCs w:val="24"/>
        </w:rPr>
        <w:t>).</w:t>
      </w:r>
      <w:r w:rsidR="002111AA" w:rsidRPr="00721AE3">
        <w:rPr>
          <w:rFonts w:ascii="Times New Roman" w:hAnsi="Times New Roman" w:cs="Times New Roman"/>
          <w:sz w:val="24"/>
          <w:szCs w:val="24"/>
        </w:rPr>
        <w:t xml:space="preserve"> </w:t>
      </w:r>
      <w:r w:rsidR="0021683E" w:rsidRPr="00721AE3">
        <w:rPr>
          <w:rFonts w:ascii="Times New Roman" w:hAnsi="Times New Roman" w:cs="Times New Roman"/>
          <w:sz w:val="24"/>
          <w:szCs w:val="24"/>
        </w:rPr>
        <w:t xml:space="preserve">Finally, commercial and retail amenities, including shopping malls, restaurants, </w:t>
      </w:r>
      <w:r w:rsidR="0046738B" w:rsidRPr="00721AE3">
        <w:rPr>
          <w:rFonts w:ascii="Times New Roman" w:hAnsi="Times New Roman" w:cs="Times New Roman"/>
          <w:sz w:val="24"/>
          <w:szCs w:val="24"/>
        </w:rPr>
        <w:t xml:space="preserve">and </w:t>
      </w:r>
      <w:r w:rsidR="0021683E" w:rsidRPr="00721AE3">
        <w:rPr>
          <w:rFonts w:ascii="Times New Roman" w:hAnsi="Times New Roman" w:cs="Times New Roman"/>
          <w:sz w:val="24"/>
          <w:szCs w:val="24"/>
        </w:rPr>
        <w:t>hotels, are incorporated to capture access to daily consumption and economic activities. While proximity to such amenities can enhance convenience and increase property values</w:t>
      </w:r>
      <w:r w:rsidR="00E91E7C" w:rsidRPr="00721AE3">
        <w:rPr>
          <w:rFonts w:ascii="Times New Roman" w:hAnsi="Times New Roman" w:cs="Times New Roman"/>
          <w:sz w:val="24"/>
          <w:szCs w:val="24"/>
        </w:rPr>
        <w:t xml:space="preserve"> </w:t>
      </w:r>
      <w:r w:rsidR="0021683E" w:rsidRPr="00721AE3">
        <w:rPr>
          <w:rFonts w:ascii="Times New Roman" w:hAnsi="Times New Roman" w:cs="Times New Roman"/>
          <w:sz w:val="24"/>
          <w:szCs w:val="24"/>
        </w:rPr>
        <w:t>(</w:t>
      </w:r>
      <w:r w:rsidR="006D3C74" w:rsidRPr="00721AE3">
        <w:rPr>
          <w:rFonts w:ascii="Times New Roman" w:hAnsi="Times New Roman" w:cs="Times New Roman"/>
          <w:sz w:val="24"/>
          <w:szCs w:val="24"/>
        </w:rPr>
        <w:t>Kholdy et al., 2014</w:t>
      </w:r>
      <w:r w:rsidR="004E39EA" w:rsidRPr="00721AE3">
        <w:rPr>
          <w:rFonts w:ascii="Times New Roman" w:hAnsi="Times New Roman" w:cs="Times New Roman"/>
          <w:sz w:val="24"/>
          <w:szCs w:val="24"/>
        </w:rPr>
        <w:t xml:space="preserve">; </w:t>
      </w:r>
      <w:r w:rsidR="000C4E23" w:rsidRPr="00721AE3">
        <w:rPr>
          <w:rFonts w:ascii="Times New Roman" w:hAnsi="Times New Roman" w:cs="Times New Roman"/>
          <w:sz w:val="24"/>
          <w:szCs w:val="24"/>
        </w:rPr>
        <w:t xml:space="preserve">Jang &amp; Kang, 2015; </w:t>
      </w:r>
      <w:r w:rsidR="004E39EA" w:rsidRPr="00721AE3">
        <w:rPr>
          <w:rFonts w:ascii="Times New Roman" w:hAnsi="Times New Roman" w:cs="Times New Roman"/>
          <w:sz w:val="24"/>
          <w:szCs w:val="24"/>
        </w:rPr>
        <w:t>Zhang et al., 2020</w:t>
      </w:r>
      <w:r w:rsidR="0021683E" w:rsidRPr="00721AE3">
        <w:rPr>
          <w:rFonts w:ascii="Times New Roman" w:hAnsi="Times New Roman" w:cs="Times New Roman"/>
          <w:sz w:val="24"/>
          <w:szCs w:val="24"/>
        </w:rPr>
        <w:t>)</w:t>
      </w:r>
      <w:r w:rsidR="003312E6" w:rsidRPr="00721AE3">
        <w:rPr>
          <w:rFonts w:ascii="Times New Roman" w:hAnsi="Times New Roman" w:cs="Times New Roman"/>
          <w:sz w:val="24"/>
          <w:szCs w:val="24"/>
        </w:rPr>
        <w:t>, they may also generate congestion, noise, and other localized externalities</w:t>
      </w:r>
      <w:r w:rsidR="0021683E" w:rsidRPr="00721AE3">
        <w:rPr>
          <w:rFonts w:ascii="Times New Roman" w:hAnsi="Times New Roman" w:cs="Times New Roman"/>
          <w:sz w:val="24"/>
          <w:szCs w:val="24"/>
        </w:rPr>
        <w:t>.</w:t>
      </w:r>
      <w:r w:rsidR="004E7B18" w:rsidRPr="00721AE3">
        <w:rPr>
          <w:rFonts w:ascii="Times New Roman" w:hAnsi="Times New Roman" w:cs="Times New Roman"/>
          <w:sz w:val="24"/>
          <w:szCs w:val="24"/>
        </w:rPr>
        <w:t xml:space="preserve"> </w:t>
      </w:r>
      <w:r w:rsidR="00093A72" w:rsidRPr="00721AE3">
        <w:rPr>
          <w:rFonts w:ascii="Times New Roman" w:hAnsi="Times New Roman" w:cs="Times New Roman"/>
          <w:sz w:val="24"/>
          <w:szCs w:val="24"/>
        </w:rPr>
        <w:t>Summary statistics for these variables are shown in Table 1</w:t>
      </w:r>
      <w:r w:rsidR="007A097F" w:rsidRPr="00721AE3">
        <w:rPr>
          <w:rFonts w:ascii="Times New Roman" w:hAnsi="Times New Roman" w:cs="Times New Roman"/>
          <w:sz w:val="24"/>
          <w:szCs w:val="24"/>
        </w:rPr>
        <w:t>.</w:t>
      </w:r>
    </w:p>
    <w:p w14:paraId="1F6F97AB" w14:textId="1E77AEB1" w:rsidR="008F0326" w:rsidRPr="00721AE3" w:rsidRDefault="008F0326" w:rsidP="0035503A">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 </w:t>
      </w:r>
      <w:r w:rsidR="00111238" w:rsidRPr="00721AE3">
        <w:rPr>
          <w:rFonts w:ascii="Times New Roman" w:hAnsi="Times New Roman" w:cs="Times New Roman"/>
          <w:sz w:val="24"/>
          <w:szCs w:val="24"/>
        </w:rPr>
        <w:t>All accessibility variables are constructed as continuous nearest-facility measures using Geographic Information System (GIS) techniques and are calculated as the shortest pedestrian walking distance from each property to its nearest amenity along the street network. Compared with straight-line (Euclidean) distance, network distance more accurately reflects the routes that residents actually use to access urban amenities and therefore provides a more behaviorally realistic measure of accessibility. This distinction is particularly important in Hong Kong, where steep topography, dense high-rise development, and extensive pedestrian infrastructure, including footpaths, footbridges, tunnels, and other</w:t>
      </w:r>
      <w:r w:rsidR="00B4087C" w:rsidRPr="00721AE3">
        <w:rPr>
          <w:rFonts w:ascii="Times New Roman" w:hAnsi="Times New Roman" w:cs="Times New Roman"/>
          <w:sz w:val="24"/>
          <w:szCs w:val="24"/>
        </w:rPr>
        <w:t xml:space="preserve"> pedestrian</w:t>
      </w:r>
      <w:r w:rsidR="00111238" w:rsidRPr="00721AE3">
        <w:rPr>
          <w:rFonts w:ascii="Times New Roman" w:hAnsi="Times New Roman" w:cs="Times New Roman"/>
          <w:sz w:val="24"/>
          <w:szCs w:val="24"/>
        </w:rPr>
        <w:t xml:space="preserve"> connections represented in OpenStreetMap, </w:t>
      </w:r>
      <w:r w:rsidR="00111238" w:rsidRPr="00721AE3">
        <w:rPr>
          <w:rFonts w:ascii="Times New Roman" w:hAnsi="Times New Roman" w:cs="Times New Roman"/>
          <w:sz w:val="24"/>
          <w:szCs w:val="24"/>
        </w:rPr>
        <w:lastRenderedPageBreak/>
        <w:t>often cause actual walking routes to deviate substantially from straight-line distance. Although the analysis does not explicitly model three-dimensional elevation changes or vertical movement within buildings</w:t>
      </w:r>
      <w:r w:rsidR="005752FE" w:rsidRPr="00721AE3">
        <w:rPr>
          <w:rFonts w:ascii="Times New Roman" w:hAnsi="Times New Roman" w:cs="Times New Roman"/>
          <w:sz w:val="24"/>
          <w:szCs w:val="24"/>
        </w:rPr>
        <w:t xml:space="preserve"> (see </w:t>
      </w:r>
      <w:r w:rsidR="0055418B" w:rsidRPr="00721AE3">
        <w:rPr>
          <w:rFonts w:ascii="Times New Roman" w:hAnsi="Times New Roman" w:cs="Times New Roman"/>
          <w:sz w:val="24"/>
          <w:szCs w:val="24"/>
        </w:rPr>
        <w:t xml:space="preserve">Tang et al., 2021; </w:t>
      </w:r>
      <w:r w:rsidR="00E750C6" w:rsidRPr="00721AE3">
        <w:rPr>
          <w:rFonts w:ascii="Times New Roman" w:hAnsi="Times New Roman" w:cs="Times New Roman"/>
          <w:sz w:val="24"/>
          <w:szCs w:val="24"/>
        </w:rPr>
        <w:t>Liu</w:t>
      </w:r>
      <w:r w:rsidR="0055418B" w:rsidRPr="00721AE3">
        <w:rPr>
          <w:rFonts w:ascii="Times New Roman" w:hAnsi="Times New Roman" w:cs="Times New Roman"/>
          <w:sz w:val="24"/>
          <w:szCs w:val="24"/>
        </w:rPr>
        <w:t xml:space="preserve"> et al., 2025</w:t>
      </w:r>
      <w:r w:rsidR="005752FE" w:rsidRPr="00721AE3">
        <w:rPr>
          <w:rFonts w:ascii="Times New Roman" w:hAnsi="Times New Roman" w:cs="Times New Roman"/>
          <w:sz w:val="24"/>
          <w:szCs w:val="24"/>
        </w:rPr>
        <w:t>)</w:t>
      </w:r>
      <w:r w:rsidR="00111238" w:rsidRPr="00721AE3">
        <w:rPr>
          <w:rFonts w:ascii="Times New Roman" w:hAnsi="Times New Roman" w:cs="Times New Roman"/>
          <w:sz w:val="24"/>
          <w:szCs w:val="24"/>
        </w:rPr>
        <w:t>, the pedestrian network captures the available walkable connections and provides a substantially more realistic representation of accessibility than conventional Euclidean distance. This specification strengthens the empirical framework by enabling the identification of non-linear and threshold-based distance</w:t>
      </w:r>
      <w:r w:rsidR="0002089C" w:rsidRPr="00721AE3">
        <w:rPr>
          <w:rFonts w:ascii="Times New Roman" w:hAnsi="Times New Roman" w:cs="Times New Roman"/>
          <w:sz w:val="24"/>
          <w:szCs w:val="24"/>
        </w:rPr>
        <w:t xml:space="preserve"> </w:t>
      </w:r>
      <w:r w:rsidR="00111238" w:rsidRPr="00721AE3">
        <w:rPr>
          <w:rFonts w:ascii="Times New Roman" w:hAnsi="Times New Roman" w:cs="Times New Roman"/>
          <w:sz w:val="24"/>
          <w:szCs w:val="24"/>
        </w:rPr>
        <w:t xml:space="preserve">decay relationships that are difficult to detect using conventional linear or categorical approaches (Chen &amp; Guestrin, 2016; Chen et al., 2025). By capturing </w:t>
      </w:r>
      <w:r w:rsidR="00170450" w:rsidRPr="00721AE3">
        <w:rPr>
          <w:rFonts w:ascii="Times New Roman" w:hAnsi="Times New Roman" w:cs="Times New Roman"/>
          <w:sz w:val="24"/>
          <w:szCs w:val="24"/>
        </w:rPr>
        <w:t>actual</w:t>
      </w:r>
      <w:r w:rsidR="00111238" w:rsidRPr="00721AE3">
        <w:rPr>
          <w:rFonts w:ascii="Times New Roman" w:hAnsi="Times New Roman" w:cs="Times New Roman"/>
          <w:sz w:val="24"/>
          <w:szCs w:val="24"/>
        </w:rPr>
        <w:t xml:space="preserve"> rather than purely geometric accessibility, the network-based measure provides a more appropriate basis for analyzing how proximity to urban amenities is capitalized into housing prices in Hong Kong’s complex urban environment</w:t>
      </w:r>
      <w:r w:rsidR="007A5E58" w:rsidRPr="00721AE3">
        <w:rPr>
          <w:rFonts w:ascii="Times New Roman" w:hAnsi="Times New Roman" w:cs="Times New Roman"/>
          <w:sz w:val="24"/>
          <w:szCs w:val="24"/>
        </w:rPr>
        <w:t>.</w:t>
      </w:r>
    </w:p>
    <w:p w14:paraId="5B9C96AA" w14:textId="75971179" w:rsidR="0047156A" w:rsidRPr="00721AE3" w:rsidRDefault="0047156A" w:rsidP="00CE2308">
      <w:pPr>
        <w:spacing w:after="0" w:line="360" w:lineRule="auto"/>
        <w:jc w:val="both"/>
        <w:rPr>
          <w:rFonts w:ascii="Times New Roman" w:hAnsi="Times New Roman" w:cs="Times New Roman"/>
        </w:rPr>
      </w:pPr>
      <w:r w:rsidRPr="00721AE3">
        <w:rPr>
          <w:rFonts w:ascii="Times New Roman" w:hAnsi="Times New Roman" w:cs="Times New Roman"/>
        </w:rPr>
        <w:t>Table 1: Summary statistics (</w:t>
      </w:r>
      <m:oMath>
        <m:r>
          <w:rPr>
            <w:rFonts w:ascii="Cambria Math" w:hAnsi="Cambria Math" w:cs="Times New Roman"/>
          </w:rPr>
          <m:t>n=722,244</m:t>
        </m:r>
      </m:oMath>
      <w:r w:rsidRPr="00721AE3">
        <w:rPr>
          <w:rFonts w:ascii="Times New Roman" w:hAnsi="Times New Roman" w:cs="Times New Roman"/>
        </w:rPr>
        <w:t>)</w:t>
      </w:r>
    </w:p>
    <w:tbl>
      <w:tblPr>
        <w:tblW w:w="9043" w:type="dxa"/>
        <w:tblLook w:val="04A0" w:firstRow="1" w:lastRow="0" w:firstColumn="1" w:lastColumn="0" w:noHBand="0" w:noVBand="1"/>
      </w:tblPr>
      <w:tblGrid>
        <w:gridCol w:w="2345"/>
        <w:gridCol w:w="3609"/>
        <w:gridCol w:w="850"/>
        <w:gridCol w:w="738"/>
        <w:gridCol w:w="666"/>
        <w:gridCol w:w="835"/>
      </w:tblGrid>
      <w:tr w:rsidR="00721AE3" w:rsidRPr="00721AE3" w14:paraId="7B2A1D9F" w14:textId="77777777" w:rsidTr="0032396A">
        <w:trPr>
          <w:trHeight w:val="300"/>
        </w:trPr>
        <w:tc>
          <w:tcPr>
            <w:tcW w:w="2345" w:type="dxa"/>
            <w:tcBorders>
              <w:top w:val="single" w:sz="4" w:space="0" w:color="auto"/>
              <w:bottom w:val="single" w:sz="4" w:space="0" w:color="auto"/>
            </w:tcBorders>
            <w:vAlign w:val="center"/>
          </w:tcPr>
          <w:p w14:paraId="214CD81E" w14:textId="77777777" w:rsidR="0047156A" w:rsidRPr="00721AE3" w:rsidRDefault="0047156A" w:rsidP="00CE2308">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Type</w:t>
            </w:r>
          </w:p>
        </w:tc>
        <w:tc>
          <w:tcPr>
            <w:tcW w:w="3609" w:type="dxa"/>
            <w:tcBorders>
              <w:top w:val="single" w:sz="4" w:space="0" w:color="auto"/>
              <w:bottom w:val="single" w:sz="4" w:space="0" w:color="auto"/>
            </w:tcBorders>
            <w:noWrap/>
            <w:vAlign w:val="center"/>
            <w:hideMark/>
          </w:tcPr>
          <w:p w14:paraId="1C0BC101" w14:textId="77777777" w:rsidR="0047156A" w:rsidRPr="00721AE3" w:rsidRDefault="0047156A" w:rsidP="00CE2308">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Variable</w:t>
            </w:r>
          </w:p>
        </w:tc>
        <w:tc>
          <w:tcPr>
            <w:tcW w:w="850" w:type="dxa"/>
            <w:tcBorders>
              <w:top w:val="single" w:sz="4" w:space="0" w:color="auto"/>
              <w:bottom w:val="single" w:sz="4" w:space="0" w:color="auto"/>
            </w:tcBorders>
            <w:noWrap/>
            <w:vAlign w:val="center"/>
            <w:hideMark/>
          </w:tcPr>
          <w:p w14:paraId="09F80F7E" w14:textId="77777777" w:rsidR="0047156A" w:rsidRPr="00721AE3" w:rsidRDefault="0047156A" w:rsidP="00CE2308">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Mean</w:t>
            </w:r>
          </w:p>
        </w:tc>
        <w:tc>
          <w:tcPr>
            <w:tcW w:w="738" w:type="dxa"/>
            <w:tcBorders>
              <w:top w:val="single" w:sz="4" w:space="0" w:color="auto"/>
              <w:bottom w:val="single" w:sz="4" w:space="0" w:color="auto"/>
            </w:tcBorders>
            <w:noWrap/>
            <w:vAlign w:val="center"/>
            <w:hideMark/>
          </w:tcPr>
          <w:p w14:paraId="0C771D3C" w14:textId="77777777" w:rsidR="0047156A" w:rsidRPr="00721AE3" w:rsidRDefault="0047156A" w:rsidP="00CE2308">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Std</w:t>
            </w:r>
          </w:p>
        </w:tc>
        <w:tc>
          <w:tcPr>
            <w:tcW w:w="666" w:type="dxa"/>
            <w:tcBorders>
              <w:top w:val="single" w:sz="4" w:space="0" w:color="auto"/>
              <w:bottom w:val="single" w:sz="4" w:space="0" w:color="auto"/>
            </w:tcBorders>
            <w:noWrap/>
            <w:vAlign w:val="center"/>
            <w:hideMark/>
          </w:tcPr>
          <w:p w14:paraId="50A92CB6" w14:textId="77777777" w:rsidR="0047156A" w:rsidRPr="00721AE3" w:rsidRDefault="0047156A" w:rsidP="00CE2308">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Min</w:t>
            </w:r>
          </w:p>
        </w:tc>
        <w:tc>
          <w:tcPr>
            <w:tcW w:w="835" w:type="dxa"/>
            <w:tcBorders>
              <w:top w:val="single" w:sz="4" w:space="0" w:color="auto"/>
              <w:bottom w:val="single" w:sz="4" w:space="0" w:color="auto"/>
            </w:tcBorders>
            <w:noWrap/>
            <w:vAlign w:val="center"/>
            <w:hideMark/>
          </w:tcPr>
          <w:p w14:paraId="05251883" w14:textId="77777777" w:rsidR="0047156A" w:rsidRPr="00721AE3" w:rsidRDefault="0047156A" w:rsidP="00CE2308">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Max</w:t>
            </w:r>
          </w:p>
        </w:tc>
      </w:tr>
      <w:tr w:rsidR="00721AE3" w:rsidRPr="00721AE3" w14:paraId="484C5427" w14:textId="77777777" w:rsidTr="0032396A">
        <w:trPr>
          <w:trHeight w:val="300"/>
        </w:trPr>
        <w:tc>
          <w:tcPr>
            <w:tcW w:w="2345" w:type="dxa"/>
            <w:vMerge w:val="restart"/>
            <w:tcBorders>
              <w:top w:val="single" w:sz="4" w:space="0" w:color="auto"/>
            </w:tcBorders>
          </w:tcPr>
          <w:p w14:paraId="19BF5A45" w14:textId="77777777" w:rsidR="0088199E" w:rsidRPr="00721AE3" w:rsidRDefault="0088199E" w:rsidP="0088199E">
            <w:pPr>
              <w:spacing w:after="0"/>
              <w:rPr>
                <w:rFonts w:ascii="Times New Roman" w:hAnsi="Times New Roman" w:cs="Times New Roman"/>
                <w:sz w:val="20"/>
                <w:szCs w:val="20"/>
              </w:rPr>
            </w:pPr>
            <w:r w:rsidRPr="00721AE3">
              <w:rPr>
                <w:rFonts w:ascii="Times New Roman" w:hAnsi="Times New Roman" w:cs="Times New Roman"/>
                <w:sz w:val="20"/>
                <w:szCs w:val="20"/>
              </w:rPr>
              <w:t>Structural characteristics</w:t>
            </w:r>
          </w:p>
        </w:tc>
        <w:tc>
          <w:tcPr>
            <w:tcW w:w="3609" w:type="dxa"/>
            <w:tcBorders>
              <w:top w:val="single" w:sz="4" w:space="0" w:color="auto"/>
            </w:tcBorders>
            <w:noWrap/>
            <w:vAlign w:val="center"/>
            <w:hideMark/>
          </w:tcPr>
          <w:p w14:paraId="5CF6C622" w14:textId="77777777" w:rsidR="0088199E" w:rsidRPr="00721AE3" w:rsidRDefault="0088199E" w:rsidP="0088199E">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Number of bedrooms</w:t>
            </w:r>
          </w:p>
        </w:tc>
        <w:tc>
          <w:tcPr>
            <w:tcW w:w="850" w:type="dxa"/>
            <w:tcBorders>
              <w:top w:val="single" w:sz="4" w:space="0" w:color="auto"/>
            </w:tcBorders>
            <w:noWrap/>
          </w:tcPr>
          <w:p w14:paraId="021BE19E" w14:textId="3F8638C2" w:rsidR="0088199E" w:rsidRPr="00721AE3" w:rsidRDefault="0088199E" w:rsidP="0088199E">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1.612</w:t>
            </w:r>
          </w:p>
        </w:tc>
        <w:tc>
          <w:tcPr>
            <w:tcW w:w="738" w:type="dxa"/>
            <w:tcBorders>
              <w:top w:val="single" w:sz="4" w:space="0" w:color="auto"/>
            </w:tcBorders>
            <w:noWrap/>
          </w:tcPr>
          <w:p w14:paraId="02AB2705" w14:textId="1B3C303D" w:rsidR="0088199E" w:rsidRPr="00721AE3" w:rsidRDefault="0088199E" w:rsidP="0088199E">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1.209</w:t>
            </w:r>
          </w:p>
        </w:tc>
        <w:tc>
          <w:tcPr>
            <w:tcW w:w="666" w:type="dxa"/>
            <w:tcBorders>
              <w:top w:val="single" w:sz="4" w:space="0" w:color="auto"/>
            </w:tcBorders>
            <w:noWrap/>
            <w:hideMark/>
          </w:tcPr>
          <w:p w14:paraId="7B049C45" w14:textId="6F134BC1" w:rsidR="0088199E" w:rsidRPr="00721AE3" w:rsidRDefault="0088199E" w:rsidP="0088199E">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tcBorders>
              <w:top w:val="single" w:sz="4" w:space="0" w:color="auto"/>
            </w:tcBorders>
            <w:noWrap/>
            <w:hideMark/>
          </w:tcPr>
          <w:p w14:paraId="7AEBEF68" w14:textId="524E22C6" w:rsidR="0088199E" w:rsidRPr="00721AE3" w:rsidRDefault="0088199E" w:rsidP="0088199E">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7</w:t>
            </w:r>
          </w:p>
        </w:tc>
      </w:tr>
      <w:tr w:rsidR="00721AE3" w:rsidRPr="00721AE3" w14:paraId="6D1A820A" w14:textId="77777777" w:rsidTr="0032396A">
        <w:trPr>
          <w:trHeight w:val="300"/>
        </w:trPr>
        <w:tc>
          <w:tcPr>
            <w:tcW w:w="2345" w:type="dxa"/>
            <w:vMerge/>
          </w:tcPr>
          <w:p w14:paraId="3345413F" w14:textId="77777777" w:rsidR="00E62BCA" w:rsidRPr="00721AE3" w:rsidRDefault="00E62BCA" w:rsidP="00E62BCA">
            <w:pPr>
              <w:spacing w:after="0"/>
              <w:rPr>
                <w:rFonts w:ascii="Times New Roman" w:hAnsi="Times New Roman" w:cs="Times New Roman"/>
                <w:sz w:val="20"/>
                <w:szCs w:val="20"/>
              </w:rPr>
            </w:pPr>
          </w:p>
        </w:tc>
        <w:tc>
          <w:tcPr>
            <w:tcW w:w="3609" w:type="dxa"/>
            <w:noWrap/>
            <w:vAlign w:val="center"/>
            <w:hideMark/>
          </w:tcPr>
          <w:p w14:paraId="02E4E901" w14:textId="77777777" w:rsidR="00E62BCA" w:rsidRPr="00721AE3" w:rsidRDefault="00E62BCA" w:rsidP="00E62BCA">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Number of living rooms</w:t>
            </w:r>
          </w:p>
        </w:tc>
        <w:tc>
          <w:tcPr>
            <w:tcW w:w="850" w:type="dxa"/>
            <w:noWrap/>
          </w:tcPr>
          <w:p w14:paraId="22CB7A0C" w14:textId="1A98E2EB" w:rsidR="00E62BCA" w:rsidRPr="00721AE3" w:rsidRDefault="00E62BCA" w:rsidP="00E62BCA">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1.280</w:t>
            </w:r>
          </w:p>
        </w:tc>
        <w:tc>
          <w:tcPr>
            <w:tcW w:w="738" w:type="dxa"/>
            <w:noWrap/>
          </w:tcPr>
          <w:p w14:paraId="7315D80E" w14:textId="764614CE" w:rsidR="00E62BCA" w:rsidRPr="00721AE3" w:rsidRDefault="00E62BCA" w:rsidP="00E62BCA">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0.915</w:t>
            </w:r>
          </w:p>
        </w:tc>
        <w:tc>
          <w:tcPr>
            <w:tcW w:w="666" w:type="dxa"/>
            <w:noWrap/>
            <w:hideMark/>
          </w:tcPr>
          <w:p w14:paraId="280E7CAF" w14:textId="79990EF4" w:rsidR="00E62BCA" w:rsidRPr="00721AE3" w:rsidRDefault="00E62BCA" w:rsidP="00E62BCA">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4ED2191E" w14:textId="7FDFAB09" w:rsidR="00E62BCA" w:rsidRPr="00721AE3" w:rsidRDefault="00E62BCA" w:rsidP="00E62BCA">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7</w:t>
            </w:r>
          </w:p>
        </w:tc>
      </w:tr>
      <w:tr w:rsidR="00721AE3" w:rsidRPr="00721AE3" w14:paraId="5676D1FA" w14:textId="77777777" w:rsidTr="0032396A">
        <w:trPr>
          <w:trHeight w:val="300"/>
        </w:trPr>
        <w:tc>
          <w:tcPr>
            <w:tcW w:w="2345" w:type="dxa"/>
            <w:vMerge w:val="restart"/>
          </w:tcPr>
          <w:p w14:paraId="2CFBBA49" w14:textId="77777777" w:rsidR="00241659" w:rsidRPr="00721AE3" w:rsidRDefault="00241659" w:rsidP="00241659">
            <w:pPr>
              <w:spacing w:after="0"/>
              <w:rPr>
                <w:rFonts w:ascii="Times New Roman" w:hAnsi="Times New Roman" w:cs="Times New Roman"/>
                <w:sz w:val="20"/>
                <w:szCs w:val="20"/>
              </w:rPr>
            </w:pPr>
            <w:r w:rsidRPr="00721AE3">
              <w:rPr>
                <w:rFonts w:ascii="Times New Roman" w:hAnsi="Times New Roman" w:cs="Times New Roman"/>
                <w:sz w:val="20"/>
                <w:szCs w:val="20"/>
              </w:rPr>
              <w:t>Transport amenities</w:t>
            </w:r>
          </w:p>
        </w:tc>
        <w:tc>
          <w:tcPr>
            <w:tcW w:w="3609" w:type="dxa"/>
            <w:noWrap/>
            <w:vAlign w:val="center"/>
            <w:hideMark/>
          </w:tcPr>
          <w:p w14:paraId="502657B6" w14:textId="130629ED"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bus stop (km)</w:t>
            </w:r>
          </w:p>
        </w:tc>
        <w:tc>
          <w:tcPr>
            <w:tcW w:w="850" w:type="dxa"/>
            <w:noWrap/>
          </w:tcPr>
          <w:p w14:paraId="69FFCF1C" w14:textId="42B176F9"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0.174</w:t>
            </w:r>
          </w:p>
        </w:tc>
        <w:tc>
          <w:tcPr>
            <w:tcW w:w="738" w:type="dxa"/>
            <w:noWrap/>
          </w:tcPr>
          <w:p w14:paraId="15B957E4" w14:textId="2D2E0E4B"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0.195</w:t>
            </w:r>
          </w:p>
        </w:tc>
        <w:tc>
          <w:tcPr>
            <w:tcW w:w="666" w:type="dxa"/>
            <w:noWrap/>
            <w:hideMark/>
          </w:tcPr>
          <w:p w14:paraId="026D7CD4" w14:textId="5AE712EF"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3D5A90EE" w14:textId="6DCE43CC"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3.453</w:t>
            </w:r>
          </w:p>
        </w:tc>
      </w:tr>
      <w:tr w:rsidR="00721AE3" w:rsidRPr="00721AE3" w14:paraId="5A20D5F5" w14:textId="77777777" w:rsidTr="0032396A">
        <w:trPr>
          <w:trHeight w:val="300"/>
        </w:trPr>
        <w:tc>
          <w:tcPr>
            <w:tcW w:w="2345" w:type="dxa"/>
            <w:vMerge/>
          </w:tcPr>
          <w:p w14:paraId="27625AA9" w14:textId="77777777" w:rsidR="00241659" w:rsidRPr="00721AE3" w:rsidRDefault="00241659" w:rsidP="00241659">
            <w:pPr>
              <w:spacing w:after="0"/>
              <w:rPr>
                <w:rFonts w:ascii="Times New Roman" w:hAnsi="Times New Roman" w:cs="Times New Roman"/>
                <w:sz w:val="20"/>
                <w:szCs w:val="20"/>
              </w:rPr>
            </w:pPr>
          </w:p>
        </w:tc>
        <w:tc>
          <w:tcPr>
            <w:tcW w:w="3609" w:type="dxa"/>
            <w:noWrap/>
            <w:vAlign w:val="center"/>
            <w:hideMark/>
          </w:tcPr>
          <w:p w14:paraId="033CBC05" w14:textId="6C0F5949"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metro station (km)</w:t>
            </w:r>
          </w:p>
        </w:tc>
        <w:tc>
          <w:tcPr>
            <w:tcW w:w="850" w:type="dxa"/>
            <w:noWrap/>
          </w:tcPr>
          <w:p w14:paraId="4C05CF40" w14:textId="1D0BD54F"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2.109</w:t>
            </w:r>
          </w:p>
        </w:tc>
        <w:tc>
          <w:tcPr>
            <w:tcW w:w="738" w:type="dxa"/>
            <w:noWrap/>
          </w:tcPr>
          <w:p w14:paraId="15ECB660" w14:textId="6A02F643"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3.169</w:t>
            </w:r>
          </w:p>
        </w:tc>
        <w:tc>
          <w:tcPr>
            <w:tcW w:w="666" w:type="dxa"/>
            <w:noWrap/>
            <w:hideMark/>
          </w:tcPr>
          <w:p w14:paraId="351D4F7A" w14:textId="0EAE5BE2"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407EC38D" w14:textId="5207A406" w:rsidR="00241659" w:rsidRPr="00721AE3" w:rsidRDefault="00241659" w:rsidP="0024165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21.835</w:t>
            </w:r>
          </w:p>
        </w:tc>
      </w:tr>
      <w:tr w:rsidR="00721AE3" w:rsidRPr="00721AE3" w14:paraId="36A378CC" w14:textId="77777777" w:rsidTr="0032396A">
        <w:trPr>
          <w:trHeight w:val="300"/>
        </w:trPr>
        <w:tc>
          <w:tcPr>
            <w:tcW w:w="2345" w:type="dxa"/>
            <w:vMerge w:val="restart"/>
          </w:tcPr>
          <w:p w14:paraId="38BCFAC3" w14:textId="77777777" w:rsidR="00E4627C" w:rsidRPr="00721AE3" w:rsidRDefault="00E4627C" w:rsidP="00E4627C">
            <w:pPr>
              <w:spacing w:after="0"/>
              <w:rPr>
                <w:rFonts w:ascii="Times New Roman" w:hAnsi="Times New Roman" w:cs="Times New Roman"/>
                <w:sz w:val="20"/>
                <w:szCs w:val="20"/>
              </w:rPr>
            </w:pPr>
            <w:r w:rsidRPr="00721AE3">
              <w:rPr>
                <w:rFonts w:ascii="Times New Roman" w:hAnsi="Times New Roman" w:cs="Times New Roman"/>
                <w:sz w:val="20"/>
                <w:szCs w:val="20"/>
              </w:rPr>
              <w:t>Education facilities</w:t>
            </w:r>
          </w:p>
        </w:tc>
        <w:tc>
          <w:tcPr>
            <w:tcW w:w="3609" w:type="dxa"/>
            <w:noWrap/>
            <w:vAlign w:val="center"/>
            <w:hideMark/>
          </w:tcPr>
          <w:p w14:paraId="44ECCDC0" w14:textId="616F0E1C"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primary school (km)</w:t>
            </w:r>
          </w:p>
        </w:tc>
        <w:tc>
          <w:tcPr>
            <w:tcW w:w="850" w:type="dxa"/>
            <w:noWrap/>
          </w:tcPr>
          <w:p w14:paraId="4B9E2075" w14:textId="0A2C597E"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1.158</w:t>
            </w:r>
          </w:p>
        </w:tc>
        <w:tc>
          <w:tcPr>
            <w:tcW w:w="738" w:type="dxa"/>
            <w:noWrap/>
          </w:tcPr>
          <w:p w14:paraId="0C4FFCF4" w14:textId="6271EC0C"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1.311</w:t>
            </w:r>
          </w:p>
        </w:tc>
        <w:tc>
          <w:tcPr>
            <w:tcW w:w="666" w:type="dxa"/>
            <w:noWrap/>
            <w:hideMark/>
          </w:tcPr>
          <w:p w14:paraId="73A7C4F3" w14:textId="477967D1"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063B93D8" w14:textId="1790A681"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27.016</w:t>
            </w:r>
          </w:p>
        </w:tc>
      </w:tr>
      <w:tr w:rsidR="00721AE3" w:rsidRPr="00721AE3" w14:paraId="6C8C6D69" w14:textId="77777777" w:rsidTr="0032396A">
        <w:trPr>
          <w:trHeight w:val="300"/>
        </w:trPr>
        <w:tc>
          <w:tcPr>
            <w:tcW w:w="2345" w:type="dxa"/>
            <w:vMerge/>
          </w:tcPr>
          <w:p w14:paraId="385DEDD8" w14:textId="77777777" w:rsidR="00E4627C" w:rsidRPr="00721AE3" w:rsidRDefault="00E4627C" w:rsidP="00E4627C">
            <w:pPr>
              <w:spacing w:after="0"/>
              <w:rPr>
                <w:rFonts w:ascii="Times New Roman" w:hAnsi="Times New Roman" w:cs="Times New Roman"/>
                <w:sz w:val="20"/>
                <w:szCs w:val="20"/>
              </w:rPr>
            </w:pPr>
          </w:p>
        </w:tc>
        <w:tc>
          <w:tcPr>
            <w:tcW w:w="3609" w:type="dxa"/>
            <w:noWrap/>
            <w:vAlign w:val="center"/>
            <w:hideMark/>
          </w:tcPr>
          <w:p w14:paraId="067A591B" w14:textId="235053B8"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secondary school (km)</w:t>
            </w:r>
          </w:p>
        </w:tc>
        <w:tc>
          <w:tcPr>
            <w:tcW w:w="850" w:type="dxa"/>
            <w:noWrap/>
          </w:tcPr>
          <w:p w14:paraId="1EB907EC" w14:textId="5BA87DCD"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1.547</w:t>
            </w:r>
          </w:p>
        </w:tc>
        <w:tc>
          <w:tcPr>
            <w:tcW w:w="738" w:type="dxa"/>
            <w:noWrap/>
          </w:tcPr>
          <w:p w14:paraId="3B71BB88" w14:textId="69EF1802"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1.882</w:t>
            </w:r>
          </w:p>
        </w:tc>
        <w:tc>
          <w:tcPr>
            <w:tcW w:w="666" w:type="dxa"/>
            <w:noWrap/>
            <w:hideMark/>
          </w:tcPr>
          <w:p w14:paraId="15341F3C" w14:textId="1478EC35"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0B9EF793" w14:textId="7E0A5ACF"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18.242</w:t>
            </w:r>
          </w:p>
        </w:tc>
      </w:tr>
      <w:tr w:rsidR="00721AE3" w:rsidRPr="00721AE3" w14:paraId="2817A05A" w14:textId="77777777" w:rsidTr="0032396A">
        <w:trPr>
          <w:trHeight w:val="300"/>
        </w:trPr>
        <w:tc>
          <w:tcPr>
            <w:tcW w:w="2345" w:type="dxa"/>
            <w:vMerge/>
          </w:tcPr>
          <w:p w14:paraId="624E3906" w14:textId="77777777" w:rsidR="00E4627C" w:rsidRPr="00721AE3" w:rsidRDefault="00E4627C" w:rsidP="00E4627C">
            <w:pPr>
              <w:spacing w:after="0"/>
              <w:rPr>
                <w:rFonts w:ascii="Times New Roman" w:hAnsi="Times New Roman" w:cs="Times New Roman"/>
                <w:sz w:val="20"/>
                <w:szCs w:val="20"/>
              </w:rPr>
            </w:pPr>
          </w:p>
        </w:tc>
        <w:tc>
          <w:tcPr>
            <w:tcW w:w="3609" w:type="dxa"/>
            <w:noWrap/>
            <w:vAlign w:val="center"/>
            <w:hideMark/>
          </w:tcPr>
          <w:p w14:paraId="6DEE79F6" w14:textId="6E4AA1D2"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university (km)</w:t>
            </w:r>
          </w:p>
        </w:tc>
        <w:tc>
          <w:tcPr>
            <w:tcW w:w="850" w:type="dxa"/>
            <w:noWrap/>
          </w:tcPr>
          <w:p w14:paraId="70C9C9F3" w14:textId="402EE169"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1.407</w:t>
            </w:r>
          </w:p>
        </w:tc>
        <w:tc>
          <w:tcPr>
            <w:tcW w:w="738" w:type="dxa"/>
            <w:noWrap/>
          </w:tcPr>
          <w:p w14:paraId="08556B96" w14:textId="618A572E"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1.747</w:t>
            </w:r>
          </w:p>
        </w:tc>
        <w:tc>
          <w:tcPr>
            <w:tcW w:w="666" w:type="dxa"/>
            <w:noWrap/>
            <w:hideMark/>
          </w:tcPr>
          <w:p w14:paraId="500D1A28" w14:textId="133F57FB"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21B14102" w14:textId="001EEA9D" w:rsidR="00E4627C" w:rsidRPr="00721AE3" w:rsidRDefault="00E4627C" w:rsidP="00E4627C">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27.491</w:t>
            </w:r>
          </w:p>
        </w:tc>
      </w:tr>
      <w:tr w:rsidR="00721AE3" w:rsidRPr="00721AE3" w14:paraId="2BF57D71" w14:textId="77777777" w:rsidTr="0032396A">
        <w:trPr>
          <w:trHeight w:val="300"/>
        </w:trPr>
        <w:tc>
          <w:tcPr>
            <w:tcW w:w="2345" w:type="dxa"/>
            <w:vMerge w:val="restart"/>
          </w:tcPr>
          <w:p w14:paraId="2D6F6022" w14:textId="77777777" w:rsidR="00261F3D" w:rsidRPr="00721AE3" w:rsidRDefault="00261F3D" w:rsidP="00261F3D">
            <w:pPr>
              <w:spacing w:after="0"/>
              <w:rPr>
                <w:rFonts w:ascii="Times New Roman" w:hAnsi="Times New Roman" w:cs="Times New Roman"/>
                <w:sz w:val="20"/>
                <w:szCs w:val="20"/>
              </w:rPr>
            </w:pPr>
            <w:r w:rsidRPr="00721AE3">
              <w:rPr>
                <w:rFonts w:ascii="Times New Roman" w:hAnsi="Times New Roman" w:cs="Times New Roman"/>
                <w:sz w:val="20"/>
                <w:szCs w:val="20"/>
              </w:rPr>
              <w:t>Healthcare services</w:t>
            </w:r>
          </w:p>
        </w:tc>
        <w:tc>
          <w:tcPr>
            <w:tcW w:w="3609" w:type="dxa"/>
            <w:noWrap/>
            <w:vAlign w:val="center"/>
            <w:hideMark/>
          </w:tcPr>
          <w:p w14:paraId="24C7BE1D" w14:textId="2481C36E"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hospital (km)</w:t>
            </w:r>
          </w:p>
        </w:tc>
        <w:tc>
          <w:tcPr>
            <w:tcW w:w="850" w:type="dxa"/>
            <w:noWrap/>
          </w:tcPr>
          <w:p w14:paraId="1DD51622" w14:textId="3D1B45E1"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0.893</w:t>
            </w:r>
          </w:p>
        </w:tc>
        <w:tc>
          <w:tcPr>
            <w:tcW w:w="738" w:type="dxa"/>
            <w:noWrap/>
          </w:tcPr>
          <w:p w14:paraId="12BEE7A7" w14:textId="5A548F19"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0.736</w:t>
            </w:r>
          </w:p>
        </w:tc>
        <w:tc>
          <w:tcPr>
            <w:tcW w:w="666" w:type="dxa"/>
            <w:noWrap/>
            <w:hideMark/>
          </w:tcPr>
          <w:p w14:paraId="40C9A837" w14:textId="79028972"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134728D0" w14:textId="715FD2AC"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10.113</w:t>
            </w:r>
          </w:p>
        </w:tc>
      </w:tr>
      <w:tr w:rsidR="00721AE3" w:rsidRPr="00721AE3" w14:paraId="7A2CAF3B" w14:textId="77777777" w:rsidTr="0032396A">
        <w:trPr>
          <w:trHeight w:val="300"/>
        </w:trPr>
        <w:tc>
          <w:tcPr>
            <w:tcW w:w="2345" w:type="dxa"/>
            <w:vMerge/>
          </w:tcPr>
          <w:p w14:paraId="03DA35A4" w14:textId="77777777" w:rsidR="00261F3D" w:rsidRPr="00721AE3" w:rsidRDefault="00261F3D" w:rsidP="00261F3D">
            <w:pPr>
              <w:spacing w:after="0"/>
              <w:rPr>
                <w:rFonts w:ascii="Times New Roman" w:eastAsia="Times New Roman" w:hAnsi="Times New Roman" w:cs="Times New Roman"/>
                <w:kern w:val="0"/>
                <w:sz w:val="20"/>
                <w:szCs w:val="20"/>
                <w14:ligatures w14:val="none"/>
              </w:rPr>
            </w:pPr>
          </w:p>
        </w:tc>
        <w:tc>
          <w:tcPr>
            <w:tcW w:w="3609" w:type="dxa"/>
            <w:noWrap/>
            <w:vAlign w:val="center"/>
            <w:hideMark/>
          </w:tcPr>
          <w:p w14:paraId="65488308" w14:textId="04FFD68A"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Distance to clinic (km)</w:t>
            </w:r>
          </w:p>
        </w:tc>
        <w:tc>
          <w:tcPr>
            <w:tcW w:w="850" w:type="dxa"/>
            <w:noWrap/>
          </w:tcPr>
          <w:p w14:paraId="29D7BB6D" w14:textId="0421FEDC"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0.563</w:t>
            </w:r>
          </w:p>
        </w:tc>
        <w:tc>
          <w:tcPr>
            <w:tcW w:w="738" w:type="dxa"/>
            <w:noWrap/>
          </w:tcPr>
          <w:p w14:paraId="543DFF31" w14:textId="273AE077"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0.611</w:t>
            </w:r>
          </w:p>
        </w:tc>
        <w:tc>
          <w:tcPr>
            <w:tcW w:w="666" w:type="dxa"/>
            <w:noWrap/>
            <w:hideMark/>
          </w:tcPr>
          <w:p w14:paraId="6973D649" w14:textId="18C204F5"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1BF0A668" w14:textId="6644E8AB" w:rsidR="00261F3D" w:rsidRPr="00721AE3" w:rsidRDefault="00261F3D" w:rsidP="00261F3D">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7.116</w:t>
            </w:r>
          </w:p>
        </w:tc>
      </w:tr>
      <w:tr w:rsidR="00721AE3" w:rsidRPr="00721AE3" w14:paraId="27F10AEB" w14:textId="77777777" w:rsidTr="0032396A">
        <w:trPr>
          <w:trHeight w:val="300"/>
        </w:trPr>
        <w:tc>
          <w:tcPr>
            <w:tcW w:w="2345" w:type="dxa"/>
            <w:vMerge w:val="restart"/>
          </w:tcPr>
          <w:p w14:paraId="1F4B6744" w14:textId="77777777" w:rsidR="00502CC3" w:rsidRPr="00721AE3" w:rsidRDefault="00502CC3" w:rsidP="00502CC3">
            <w:pPr>
              <w:spacing w:after="0"/>
              <w:rPr>
                <w:rFonts w:ascii="Times New Roman" w:hAnsi="Times New Roman" w:cs="Times New Roman"/>
                <w:sz w:val="20"/>
                <w:szCs w:val="20"/>
              </w:rPr>
            </w:pPr>
            <w:r w:rsidRPr="00721AE3">
              <w:rPr>
                <w:rFonts w:ascii="Times New Roman" w:hAnsi="Times New Roman" w:cs="Times New Roman"/>
                <w:sz w:val="20"/>
                <w:szCs w:val="20"/>
              </w:rPr>
              <w:t>Commercial &amp; Retail Amenities</w:t>
            </w:r>
          </w:p>
        </w:tc>
        <w:tc>
          <w:tcPr>
            <w:tcW w:w="3609" w:type="dxa"/>
            <w:noWrap/>
            <w:vAlign w:val="center"/>
            <w:hideMark/>
          </w:tcPr>
          <w:p w14:paraId="2AC566DC" w14:textId="65D61A10"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shopping mall (km)</w:t>
            </w:r>
          </w:p>
        </w:tc>
        <w:tc>
          <w:tcPr>
            <w:tcW w:w="850" w:type="dxa"/>
            <w:noWrap/>
          </w:tcPr>
          <w:p w14:paraId="7207C083" w14:textId="7C9ED4C4"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0.507</w:t>
            </w:r>
          </w:p>
        </w:tc>
        <w:tc>
          <w:tcPr>
            <w:tcW w:w="738" w:type="dxa"/>
            <w:noWrap/>
          </w:tcPr>
          <w:p w14:paraId="2E716371" w14:textId="74554B93"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0.543</w:t>
            </w:r>
          </w:p>
        </w:tc>
        <w:tc>
          <w:tcPr>
            <w:tcW w:w="666" w:type="dxa"/>
            <w:noWrap/>
            <w:hideMark/>
          </w:tcPr>
          <w:p w14:paraId="4F00B7A6" w14:textId="074147A8"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69922DB9" w14:textId="6E66B83E"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9.295</w:t>
            </w:r>
          </w:p>
        </w:tc>
      </w:tr>
      <w:tr w:rsidR="00721AE3" w:rsidRPr="00721AE3" w14:paraId="38CB4A73" w14:textId="77777777" w:rsidTr="0032396A">
        <w:trPr>
          <w:trHeight w:val="300"/>
        </w:trPr>
        <w:tc>
          <w:tcPr>
            <w:tcW w:w="2345" w:type="dxa"/>
            <w:vMerge/>
          </w:tcPr>
          <w:p w14:paraId="653CA4BF" w14:textId="77777777" w:rsidR="00502CC3" w:rsidRPr="00721AE3" w:rsidRDefault="00502CC3" w:rsidP="00502CC3">
            <w:pPr>
              <w:spacing w:after="0"/>
              <w:rPr>
                <w:rFonts w:ascii="Times New Roman" w:hAnsi="Times New Roman" w:cs="Times New Roman"/>
                <w:sz w:val="20"/>
                <w:szCs w:val="20"/>
              </w:rPr>
            </w:pPr>
          </w:p>
        </w:tc>
        <w:tc>
          <w:tcPr>
            <w:tcW w:w="3609" w:type="dxa"/>
            <w:noWrap/>
            <w:vAlign w:val="center"/>
            <w:hideMark/>
          </w:tcPr>
          <w:p w14:paraId="6289293F" w14:textId="2152EE74"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restaurant (km)</w:t>
            </w:r>
          </w:p>
        </w:tc>
        <w:tc>
          <w:tcPr>
            <w:tcW w:w="850" w:type="dxa"/>
            <w:noWrap/>
          </w:tcPr>
          <w:p w14:paraId="43004B60" w14:textId="75B715E9"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0.379</w:t>
            </w:r>
          </w:p>
        </w:tc>
        <w:tc>
          <w:tcPr>
            <w:tcW w:w="738" w:type="dxa"/>
            <w:noWrap/>
          </w:tcPr>
          <w:p w14:paraId="7D587484" w14:textId="0BD0815C"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0.405</w:t>
            </w:r>
          </w:p>
        </w:tc>
        <w:tc>
          <w:tcPr>
            <w:tcW w:w="666" w:type="dxa"/>
            <w:noWrap/>
            <w:hideMark/>
          </w:tcPr>
          <w:p w14:paraId="457AF991" w14:textId="58FF67AF"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19C51535" w14:textId="5939866E"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6.585</w:t>
            </w:r>
          </w:p>
        </w:tc>
      </w:tr>
      <w:tr w:rsidR="00721AE3" w:rsidRPr="00721AE3" w14:paraId="067D28E8" w14:textId="77777777" w:rsidTr="0032396A">
        <w:trPr>
          <w:trHeight w:val="300"/>
        </w:trPr>
        <w:tc>
          <w:tcPr>
            <w:tcW w:w="2345" w:type="dxa"/>
            <w:vMerge/>
          </w:tcPr>
          <w:p w14:paraId="69F40075" w14:textId="77777777" w:rsidR="00502CC3" w:rsidRPr="00721AE3" w:rsidRDefault="00502CC3" w:rsidP="00502CC3">
            <w:pPr>
              <w:spacing w:after="0"/>
              <w:rPr>
                <w:rFonts w:ascii="Times New Roman" w:hAnsi="Times New Roman" w:cs="Times New Roman"/>
                <w:sz w:val="20"/>
                <w:szCs w:val="20"/>
              </w:rPr>
            </w:pPr>
          </w:p>
        </w:tc>
        <w:tc>
          <w:tcPr>
            <w:tcW w:w="3609" w:type="dxa"/>
            <w:noWrap/>
            <w:vAlign w:val="center"/>
          </w:tcPr>
          <w:p w14:paraId="50C26ACF" w14:textId="61DD9FC0" w:rsidR="00502CC3" w:rsidRPr="00721AE3" w:rsidRDefault="00502CC3" w:rsidP="00502CC3">
            <w:pPr>
              <w:spacing w:after="0"/>
              <w:rPr>
                <w:rFonts w:ascii="Times New Roman" w:hAnsi="Times New Roman" w:cs="Times New Roman"/>
                <w:sz w:val="20"/>
                <w:szCs w:val="20"/>
              </w:rPr>
            </w:pPr>
            <w:r w:rsidRPr="00721AE3">
              <w:rPr>
                <w:rFonts w:ascii="Times New Roman" w:eastAsia="Times New Roman" w:hAnsi="Times New Roman" w:cs="Times New Roman"/>
                <w:kern w:val="0"/>
                <w:sz w:val="20"/>
                <w:szCs w:val="20"/>
                <w14:ligatures w14:val="none"/>
              </w:rPr>
              <w:t>Distance to hotel (km)</w:t>
            </w:r>
          </w:p>
        </w:tc>
        <w:tc>
          <w:tcPr>
            <w:tcW w:w="850" w:type="dxa"/>
            <w:noWrap/>
          </w:tcPr>
          <w:p w14:paraId="4D886D07" w14:textId="0EE70C58" w:rsidR="00502CC3" w:rsidRPr="00721AE3" w:rsidRDefault="00502CC3" w:rsidP="00502CC3">
            <w:pPr>
              <w:spacing w:after="0"/>
              <w:rPr>
                <w:rFonts w:ascii="Times New Roman" w:hAnsi="Times New Roman" w:cs="Times New Roman"/>
                <w:sz w:val="20"/>
                <w:szCs w:val="20"/>
              </w:rPr>
            </w:pPr>
            <w:r w:rsidRPr="00721AE3">
              <w:rPr>
                <w:rFonts w:ascii="Times New Roman" w:hAnsi="Times New Roman" w:cs="Times New Roman"/>
                <w:sz w:val="20"/>
                <w:szCs w:val="20"/>
              </w:rPr>
              <w:t>1.132</w:t>
            </w:r>
          </w:p>
        </w:tc>
        <w:tc>
          <w:tcPr>
            <w:tcW w:w="738" w:type="dxa"/>
            <w:noWrap/>
          </w:tcPr>
          <w:p w14:paraId="05CB799E" w14:textId="50D15267" w:rsidR="00502CC3" w:rsidRPr="00721AE3" w:rsidRDefault="00502CC3" w:rsidP="00502CC3">
            <w:pPr>
              <w:spacing w:after="0"/>
              <w:rPr>
                <w:rFonts w:ascii="Times New Roman" w:hAnsi="Times New Roman" w:cs="Times New Roman"/>
                <w:sz w:val="20"/>
                <w:szCs w:val="20"/>
              </w:rPr>
            </w:pPr>
            <w:r w:rsidRPr="00721AE3">
              <w:rPr>
                <w:rFonts w:ascii="Times New Roman" w:hAnsi="Times New Roman" w:cs="Times New Roman"/>
                <w:sz w:val="20"/>
                <w:szCs w:val="20"/>
              </w:rPr>
              <w:t>1.072</w:t>
            </w:r>
          </w:p>
        </w:tc>
        <w:tc>
          <w:tcPr>
            <w:tcW w:w="666" w:type="dxa"/>
            <w:noWrap/>
          </w:tcPr>
          <w:p w14:paraId="6A054E3B" w14:textId="0953095F"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tcPr>
          <w:p w14:paraId="6897113C" w14:textId="519B2DB8" w:rsidR="00502CC3" w:rsidRPr="00721AE3" w:rsidRDefault="00502CC3" w:rsidP="00502CC3">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8.786</w:t>
            </w:r>
          </w:p>
        </w:tc>
      </w:tr>
      <w:tr w:rsidR="00721AE3" w:rsidRPr="00721AE3" w14:paraId="4CC88A4D" w14:textId="77777777" w:rsidTr="0032396A">
        <w:trPr>
          <w:trHeight w:val="300"/>
        </w:trPr>
        <w:tc>
          <w:tcPr>
            <w:tcW w:w="2345" w:type="dxa"/>
            <w:vMerge w:val="restart"/>
          </w:tcPr>
          <w:p w14:paraId="0A96F44C" w14:textId="77777777" w:rsidR="00844652" w:rsidRPr="00721AE3" w:rsidRDefault="00844652" w:rsidP="00844652">
            <w:pPr>
              <w:spacing w:after="0"/>
              <w:rPr>
                <w:rFonts w:ascii="Times New Roman" w:hAnsi="Times New Roman" w:cs="Times New Roman"/>
                <w:sz w:val="20"/>
                <w:szCs w:val="20"/>
              </w:rPr>
            </w:pPr>
            <w:r w:rsidRPr="00721AE3">
              <w:rPr>
                <w:rFonts w:ascii="Times New Roman" w:hAnsi="Times New Roman" w:cs="Times New Roman"/>
                <w:sz w:val="20"/>
                <w:szCs w:val="20"/>
              </w:rPr>
              <w:t>Natural and recreational amenities</w:t>
            </w:r>
          </w:p>
        </w:tc>
        <w:tc>
          <w:tcPr>
            <w:tcW w:w="3609" w:type="dxa"/>
            <w:noWrap/>
            <w:vAlign w:val="center"/>
          </w:tcPr>
          <w:p w14:paraId="5C26BAEF" w14:textId="5FB9ECE4" w:rsidR="00844652" w:rsidRPr="00721AE3" w:rsidRDefault="00844652" w:rsidP="00844652">
            <w:pPr>
              <w:spacing w:after="0"/>
              <w:rPr>
                <w:rFonts w:ascii="Times New Roman" w:hAnsi="Times New Roman" w:cs="Times New Roman"/>
                <w:sz w:val="20"/>
                <w:szCs w:val="20"/>
              </w:rPr>
            </w:pPr>
            <w:r w:rsidRPr="00721AE3">
              <w:rPr>
                <w:rFonts w:ascii="Times New Roman" w:hAnsi="Times New Roman" w:cs="Times New Roman"/>
                <w:sz w:val="20"/>
                <w:szCs w:val="20"/>
              </w:rPr>
              <w:t>Distance to greenspace/park (km)</w:t>
            </w:r>
          </w:p>
        </w:tc>
        <w:tc>
          <w:tcPr>
            <w:tcW w:w="850" w:type="dxa"/>
            <w:noWrap/>
          </w:tcPr>
          <w:p w14:paraId="54DE4CEC" w14:textId="4935CC20" w:rsidR="00844652" w:rsidRPr="00721AE3" w:rsidRDefault="00844652" w:rsidP="00844652">
            <w:pPr>
              <w:spacing w:after="0"/>
              <w:rPr>
                <w:rFonts w:ascii="Times New Roman" w:hAnsi="Times New Roman" w:cs="Times New Roman"/>
                <w:sz w:val="20"/>
                <w:szCs w:val="20"/>
              </w:rPr>
            </w:pPr>
            <w:r w:rsidRPr="00721AE3">
              <w:rPr>
                <w:rFonts w:ascii="Times New Roman" w:hAnsi="Times New Roman" w:cs="Times New Roman"/>
                <w:sz w:val="20"/>
                <w:szCs w:val="20"/>
              </w:rPr>
              <w:t>0.551</w:t>
            </w:r>
          </w:p>
        </w:tc>
        <w:tc>
          <w:tcPr>
            <w:tcW w:w="738" w:type="dxa"/>
            <w:noWrap/>
          </w:tcPr>
          <w:p w14:paraId="6F39DB5D" w14:textId="2FE4D120" w:rsidR="00844652" w:rsidRPr="00721AE3" w:rsidRDefault="00844652" w:rsidP="00844652">
            <w:pPr>
              <w:spacing w:after="0"/>
              <w:rPr>
                <w:rFonts w:ascii="Times New Roman" w:hAnsi="Times New Roman" w:cs="Times New Roman"/>
                <w:sz w:val="20"/>
                <w:szCs w:val="20"/>
              </w:rPr>
            </w:pPr>
            <w:r w:rsidRPr="00721AE3">
              <w:rPr>
                <w:rFonts w:ascii="Times New Roman" w:hAnsi="Times New Roman" w:cs="Times New Roman"/>
                <w:sz w:val="20"/>
                <w:szCs w:val="20"/>
              </w:rPr>
              <w:t>0.475</w:t>
            </w:r>
          </w:p>
        </w:tc>
        <w:tc>
          <w:tcPr>
            <w:tcW w:w="666" w:type="dxa"/>
            <w:noWrap/>
          </w:tcPr>
          <w:p w14:paraId="19A172A1" w14:textId="783788DF" w:rsidR="00844652" w:rsidRPr="00721AE3" w:rsidRDefault="00844652" w:rsidP="00844652">
            <w:pPr>
              <w:spacing w:after="0"/>
              <w:rPr>
                <w:rFonts w:ascii="Times New Roman" w:hAnsi="Times New Roman" w:cs="Times New Roman"/>
                <w:sz w:val="20"/>
                <w:szCs w:val="20"/>
              </w:rPr>
            </w:pPr>
            <w:r w:rsidRPr="00721AE3">
              <w:rPr>
                <w:rFonts w:ascii="Times New Roman" w:hAnsi="Times New Roman" w:cs="Times New Roman"/>
                <w:sz w:val="20"/>
                <w:szCs w:val="20"/>
              </w:rPr>
              <w:t>0</w:t>
            </w:r>
          </w:p>
        </w:tc>
        <w:tc>
          <w:tcPr>
            <w:tcW w:w="835" w:type="dxa"/>
            <w:noWrap/>
          </w:tcPr>
          <w:p w14:paraId="61B73712" w14:textId="058AC176" w:rsidR="00844652" w:rsidRPr="00721AE3" w:rsidRDefault="00844652" w:rsidP="00844652">
            <w:pPr>
              <w:spacing w:after="0"/>
              <w:rPr>
                <w:rFonts w:ascii="Times New Roman" w:hAnsi="Times New Roman" w:cs="Times New Roman"/>
                <w:sz w:val="20"/>
                <w:szCs w:val="20"/>
              </w:rPr>
            </w:pPr>
            <w:r w:rsidRPr="00721AE3">
              <w:rPr>
                <w:rFonts w:ascii="Times New Roman" w:hAnsi="Times New Roman" w:cs="Times New Roman"/>
                <w:sz w:val="20"/>
                <w:szCs w:val="20"/>
              </w:rPr>
              <w:t>2.998</w:t>
            </w:r>
          </w:p>
        </w:tc>
      </w:tr>
      <w:tr w:rsidR="00721AE3" w:rsidRPr="00721AE3" w14:paraId="310D8F5D" w14:textId="77777777" w:rsidTr="0032396A">
        <w:trPr>
          <w:trHeight w:val="300"/>
        </w:trPr>
        <w:tc>
          <w:tcPr>
            <w:tcW w:w="2345" w:type="dxa"/>
            <w:vMerge/>
          </w:tcPr>
          <w:p w14:paraId="446E80DE" w14:textId="77777777" w:rsidR="00131F36" w:rsidRPr="00721AE3" w:rsidRDefault="00131F36" w:rsidP="00131F36">
            <w:pPr>
              <w:spacing w:after="0"/>
              <w:rPr>
                <w:rFonts w:ascii="Times New Roman" w:eastAsia="Times New Roman" w:hAnsi="Times New Roman" w:cs="Times New Roman"/>
                <w:kern w:val="0"/>
                <w:sz w:val="20"/>
                <w:szCs w:val="20"/>
                <w14:ligatures w14:val="none"/>
              </w:rPr>
            </w:pPr>
          </w:p>
        </w:tc>
        <w:tc>
          <w:tcPr>
            <w:tcW w:w="3609" w:type="dxa"/>
            <w:noWrap/>
            <w:vAlign w:val="center"/>
            <w:hideMark/>
          </w:tcPr>
          <w:p w14:paraId="5E5296C5" w14:textId="7AC1D87E"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Distance to leisure/sport (km)</w:t>
            </w:r>
          </w:p>
        </w:tc>
        <w:tc>
          <w:tcPr>
            <w:tcW w:w="850" w:type="dxa"/>
            <w:noWrap/>
          </w:tcPr>
          <w:p w14:paraId="216EE068" w14:textId="372C7574"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0.395</w:t>
            </w:r>
          </w:p>
        </w:tc>
        <w:tc>
          <w:tcPr>
            <w:tcW w:w="738" w:type="dxa"/>
            <w:noWrap/>
          </w:tcPr>
          <w:p w14:paraId="35A3AB48" w14:textId="3FA2B5B6"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0.365</w:t>
            </w:r>
          </w:p>
        </w:tc>
        <w:tc>
          <w:tcPr>
            <w:tcW w:w="666" w:type="dxa"/>
            <w:noWrap/>
            <w:hideMark/>
          </w:tcPr>
          <w:p w14:paraId="62EEB728" w14:textId="6021E766"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7AF556BD" w14:textId="0FB71D8F"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2.997</w:t>
            </w:r>
          </w:p>
        </w:tc>
      </w:tr>
      <w:tr w:rsidR="00721AE3" w:rsidRPr="00721AE3" w14:paraId="0E5E2EF8" w14:textId="77777777" w:rsidTr="0032396A">
        <w:trPr>
          <w:trHeight w:val="300"/>
        </w:trPr>
        <w:tc>
          <w:tcPr>
            <w:tcW w:w="2345" w:type="dxa"/>
            <w:vMerge/>
          </w:tcPr>
          <w:p w14:paraId="7041C29E" w14:textId="77777777" w:rsidR="00131F36" w:rsidRPr="00721AE3" w:rsidRDefault="00131F36" w:rsidP="00131F36">
            <w:pPr>
              <w:spacing w:after="0"/>
              <w:rPr>
                <w:rFonts w:ascii="Times New Roman" w:hAnsi="Times New Roman" w:cs="Times New Roman"/>
                <w:sz w:val="20"/>
                <w:szCs w:val="20"/>
              </w:rPr>
            </w:pPr>
          </w:p>
        </w:tc>
        <w:tc>
          <w:tcPr>
            <w:tcW w:w="3609" w:type="dxa"/>
            <w:noWrap/>
            <w:vAlign w:val="center"/>
            <w:hideMark/>
          </w:tcPr>
          <w:p w14:paraId="25D40D74" w14:textId="553F9B5E"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Distance to scenic spot (km)</w:t>
            </w:r>
          </w:p>
        </w:tc>
        <w:tc>
          <w:tcPr>
            <w:tcW w:w="850" w:type="dxa"/>
            <w:noWrap/>
          </w:tcPr>
          <w:p w14:paraId="5314DDE7" w14:textId="7EF5A0D5"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0.443</w:t>
            </w:r>
          </w:p>
        </w:tc>
        <w:tc>
          <w:tcPr>
            <w:tcW w:w="738" w:type="dxa"/>
            <w:noWrap/>
          </w:tcPr>
          <w:p w14:paraId="6291BAB0" w14:textId="3027F9D3"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0.403</w:t>
            </w:r>
          </w:p>
        </w:tc>
        <w:tc>
          <w:tcPr>
            <w:tcW w:w="666" w:type="dxa"/>
            <w:noWrap/>
            <w:hideMark/>
          </w:tcPr>
          <w:p w14:paraId="0BB3CEA1" w14:textId="08A7E39B"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w:t>
            </w:r>
          </w:p>
        </w:tc>
        <w:tc>
          <w:tcPr>
            <w:tcW w:w="835" w:type="dxa"/>
            <w:noWrap/>
            <w:hideMark/>
          </w:tcPr>
          <w:p w14:paraId="0C0A9E0E" w14:textId="2BD35D85" w:rsidR="00131F36" w:rsidRPr="00721AE3" w:rsidRDefault="00131F36" w:rsidP="00131F36">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2.996</w:t>
            </w:r>
          </w:p>
        </w:tc>
      </w:tr>
      <w:tr w:rsidR="00721AE3" w:rsidRPr="00721AE3" w14:paraId="5E5456E8" w14:textId="77777777" w:rsidTr="0032396A">
        <w:trPr>
          <w:trHeight w:val="300"/>
        </w:trPr>
        <w:tc>
          <w:tcPr>
            <w:tcW w:w="2345" w:type="dxa"/>
            <w:tcBorders>
              <w:bottom w:val="single" w:sz="4" w:space="0" w:color="auto"/>
            </w:tcBorders>
          </w:tcPr>
          <w:p w14:paraId="4E3C9631" w14:textId="77777777" w:rsidR="00C01909" w:rsidRPr="00721AE3" w:rsidRDefault="00C01909" w:rsidP="00C01909">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Housing price</w:t>
            </w:r>
          </w:p>
        </w:tc>
        <w:tc>
          <w:tcPr>
            <w:tcW w:w="3609" w:type="dxa"/>
            <w:tcBorders>
              <w:bottom w:val="single" w:sz="4" w:space="0" w:color="auto"/>
            </w:tcBorders>
            <w:noWrap/>
            <w:vAlign w:val="center"/>
            <w:hideMark/>
          </w:tcPr>
          <w:p w14:paraId="055AB530" w14:textId="77777777" w:rsidR="00C01909" w:rsidRPr="00721AE3" w:rsidRDefault="00C01909" w:rsidP="00C01909">
            <w:pPr>
              <w:spacing w:after="0"/>
              <w:rPr>
                <w:rFonts w:ascii="Times New Roman" w:eastAsia="Times New Roman" w:hAnsi="Times New Roman" w:cs="Times New Roman"/>
                <w:kern w:val="0"/>
                <w:sz w:val="20"/>
                <w:szCs w:val="20"/>
                <w14:ligatures w14:val="none"/>
              </w:rPr>
            </w:pPr>
            <w:r w:rsidRPr="00721AE3">
              <w:rPr>
                <w:rFonts w:ascii="Times New Roman" w:eastAsia="Times New Roman" w:hAnsi="Times New Roman" w:cs="Times New Roman"/>
                <w:kern w:val="0"/>
                <w:sz w:val="20"/>
                <w:szCs w:val="20"/>
                <w14:ligatures w14:val="none"/>
              </w:rPr>
              <w:t>Unit sales price (in 10,000 HKD) (in log)</w:t>
            </w:r>
          </w:p>
        </w:tc>
        <w:tc>
          <w:tcPr>
            <w:tcW w:w="850" w:type="dxa"/>
            <w:tcBorders>
              <w:bottom w:val="single" w:sz="4" w:space="0" w:color="auto"/>
            </w:tcBorders>
            <w:noWrap/>
          </w:tcPr>
          <w:p w14:paraId="03E5AEAF" w14:textId="66B7713C" w:rsidR="00C01909" w:rsidRPr="00721AE3" w:rsidRDefault="00C01909" w:rsidP="00C0190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2.485</w:t>
            </w:r>
          </w:p>
        </w:tc>
        <w:tc>
          <w:tcPr>
            <w:tcW w:w="738" w:type="dxa"/>
            <w:tcBorders>
              <w:bottom w:val="single" w:sz="4" w:space="0" w:color="auto"/>
            </w:tcBorders>
            <w:noWrap/>
          </w:tcPr>
          <w:p w14:paraId="1D6B248D" w14:textId="267FF44C" w:rsidR="00C01909" w:rsidRPr="00721AE3" w:rsidRDefault="00C01909" w:rsidP="00C0190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0.582</w:t>
            </w:r>
          </w:p>
        </w:tc>
        <w:tc>
          <w:tcPr>
            <w:tcW w:w="666" w:type="dxa"/>
            <w:tcBorders>
              <w:bottom w:val="single" w:sz="4" w:space="0" w:color="auto"/>
            </w:tcBorders>
            <w:noWrap/>
            <w:hideMark/>
          </w:tcPr>
          <w:p w14:paraId="3265F8CF" w14:textId="15CBD7DC" w:rsidR="00C01909" w:rsidRPr="00721AE3" w:rsidRDefault="00C01909" w:rsidP="00C0190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0.592</w:t>
            </w:r>
          </w:p>
        </w:tc>
        <w:tc>
          <w:tcPr>
            <w:tcW w:w="835" w:type="dxa"/>
            <w:tcBorders>
              <w:bottom w:val="single" w:sz="4" w:space="0" w:color="auto"/>
            </w:tcBorders>
            <w:noWrap/>
            <w:hideMark/>
          </w:tcPr>
          <w:p w14:paraId="0D06F0E6" w14:textId="4824DB01" w:rsidR="00C01909" w:rsidRPr="00721AE3" w:rsidRDefault="00C01909" w:rsidP="00C01909">
            <w:pPr>
              <w:spacing w:after="0"/>
              <w:rPr>
                <w:rFonts w:ascii="Times New Roman" w:eastAsia="Times New Roman" w:hAnsi="Times New Roman" w:cs="Times New Roman"/>
                <w:kern w:val="0"/>
                <w:sz w:val="20"/>
                <w:szCs w:val="20"/>
                <w14:ligatures w14:val="none"/>
              </w:rPr>
            </w:pPr>
            <w:r w:rsidRPr="00721AE3">
              <w:rPr>
                <w:rFonts w:ascii="Times New Roman" w:hAnsi="Times New Roman" w:cs="Times New Roman"/>
                <w:sz w:val="20"/>
                <w:szCs w:val="20"/>
              </w:rPr>
              <w:t>4.023</w:t>
            </w:r>
          </w:p>
        </w:tc>
      </w:tr>
    </w:tbl>
    <w:p w14:paraId="5E79C4EA" w14:textId="6FB72372" w:rsidR="00D72175" w:rsidRPr="00721AE3" w:rsidRDefault="00D72175" w:rsidP="00D72175">
      <w:pPr>
        <w:spacing w:line="360" w:lineRule="auto"/>
        <w:jc w:val="both"/>
        <w:rPr>
          <w:rFonts w:ascii="Times New Roman" w:hAnsi="Times New Roman" w:cs="Times New Roman"/>
          <w:sz w:val="24"/>
          <w:szCs w:val="24"/>
        </w:rPr>
      </w:pPr>
      <w:r w:rsidRPr="00721AE3">
        <w:rPr>
          <w:rFonts w:ascii="Times New Roman" w:hAnsi="Times New Roman" w:cs="Times New Roman"/>
          <w:noProof/>
          <w:sz w:val="24"/>
          <w:szCs w:val="24"/>
        </w:rPr>
        <w:lastRenderedPageBreak/>
        <w:drawing>
          <wp:inline distT="0" distB="0" distL="0" distR="0" wp14:anchorId="0224F28D" wp14:editId="4F621475">
            <wp:extent cx="5943600" cy="4055110"/>
            <wp:effectExtent l="0" t="0" r="0" b="2540"/>
            <wp:docPr id="1810843772" name="Picture 2"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43772" name="Picture 2" descr="A map of the worl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055110"/>
                    </a:xfrm>
                    <a:prstGeom prst="rect">
                      <a:avLst/>
                    </a:prstGeom>
                    <a:noFill/>
                    <a:ln>
                      <a:noFill/>
                    </a:ln>
                  </pic:spPr>
                </pic:pic>
              </a:graphicData>
            </a:graphic>
          </wp:inline>
        </w:drawing>
      </w:r>
    </w:p>
    <w:p w14:paraId="10BD6C3E" w14:textId="405F1E38" w:rsidR="001509E5" w:rsidRPr="00721AE3" w:rsidRDefault="00856412" w:rsidP="00CE2308">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F</w:t>
      </w:r>
      <w:r w:rsidR="00B70C6C" w:rsidRPr="00721AE3">
        <w:rPr>
          <w:rFonts w:ascii="Times New Roman" w:hAnsi="Times New Roman" w:cs="Times New Roman"/>
          <w:sz w:val="24"/>
          <w:szCs w:val="24"/>
        </w:rPr>
        <w:t>igure 1</w:t>
      </w:r>
      <w:r w:rsidR="009E3B6B" w:rsidRPr="00721AE3">
        <w:rPr>
          <w:rFonts w:ascii="Times New Roman" w:hAnsi="Times New Roman" w:cs="Times New Roman"/>
          <w:sz w:val="24"/>
          <w:szCs w:val="24"/>
        </w:rPr>
        <w:t>.</w:t>
      </w:r>
      <w:r w:rsidR="00B70C6C" w:rsidRPr="00721AE3">
        <w:rPr>
          <w:rFonts w:ascii="Times New Roman" w:hAnsi="Times New Roman" w:cs="Times New Roman"/>
          <w:sz w:val="24"/>
          <w:szCs w:val="24"/>
        </w:rPr>
        <w:t xml:space="preserve"> </w:t>
      </w:r>
      <w:r w:rsidR="00E74159" w:rsidRPr="00721AE3">
        <w:rPr>
          <w:rFonts w:ascii="Times New Roman" w:hAnsi="Times New Roman" w:cs="Times New Roman"/>
          <w:sz w:val="24"/>
          <w:szCs w:val="24"/>
        </w:rPr>
        <w:t xml:space="preserve">Spatial </w:t>
      </w:r>
      <w:r w:rsidR="00704C1F" w:rsidRPr="00721AE3">
        <w:rPr>
          <w:rFonts w:ascii="Times New Roman" w:hAnsi="Times New Roman" w:cs="Times New Roman"/>
          <w:sz w:val="24"/>
          <w:szCs w:val="24"/>
        </w:rPr>
        <w:t>d</w:t>
      </w:r>
      <w:r w:rsidR="00E74159" w:rsidRPr="00721AE3">
        <w:rPr>
          <w:rFonts w:ascii="Times New Roman" w:hAnsi="Times New Roman" w:cs="Times New Roman"/>
          <w:sz w:val="24"/>
          <w:szCs w:val="24"/>
        </w:rPr>
        <w:t xml:space="preserve">istribution of </w:t>
      </w:r>
      <w:r w:rsidR="00704C1F" w:rsidRPr="00721AE3">
        <w:rPr>
          <w:rFonts w:ascii="Times New Roman" w:hAnsi="Times New Roman" w:cs="Times New Roman"/>
          <w:sz w:val="24"/>
          <w:szCs w:val="24"/>
        </w:rPr>
        <w:t>h</w:t>
      </w:r>
      <w:r w:rsidR="00E74159" w:rsidRPr="00721AE3">
        <w:rPr>
          <w:rFonts w:ascii="Times New Roman" w:hAnsi="Times New Roman" w:cs="Times New Roman"/>
          <w:sz w:val="24"/>
          <w:szCs w:val="24"/>
        </w:rPr>
        <w:t xml:space="preserve">ousing </w:t>
      </w:r>
      <w:r w:rsidR="00704C1F" w:rsidRPr="00721AE3">
        <w:rPr>
          <w:rFonts w:ascii="Times New Roman" w:hAnsi="Times New Roman" w:cs="Times New Roman"/>
          <w:sz w:val="24"/>
          <w:szCs w:val="24"/>
        </w:rPr>
        <w:t>p</w:t>
      </w:r>
      <w:r w:rsidR="00E74159" w:rsidRPr="00721AE3">
        <w:rPr>
          <w:rFonts w:ascii="Times New Roman" w:hAnsi="Times New Roman" w:cs="Times New Roman"/>
          <w:sz w:val="24"/>
          <w:szCs w:val="24"/>
        </w:rPr>
        <w:t>rices in Hong Kong (2012-2020)</w:t>
      </w:r>
    </w:p>
    <w:p w14:paraId="39AD1FCD" w14:textId="2D3AFFFB" w:rsidR="001167A0" w:rsidRPr="00721AE3" w:rsidRDefault="00265BCE" w:rsidP="00CE2308">
      <w:pPr>
        <w:pStyle w:val="a9"/>
        <w:numPr>
          <w:ilvl w:val="1"/>
          <w:numId w:val="1"/>
        </w:numPr>
        <w:spacing w:line="360" w:lineRule="auto"/>
        <w:ind w:left="567" w:hanging="567"/>
        <w:jc w:val="both"/>
        <w:rPr>
          <w:rFonts w:ascii="Times New Roman" w:hAnsi="Times New Roman" w:cs="Times New Roman"/>
          <w:b/>
          <w:bCs/>
          <w:sz w:val="24"/>
          <w:szCs w:val="24"/>
        </w:rPr>
      </w:pPr>
      <w:r w:rsidRPr="00721AE3">
        <w:rPr>
          <w:rFonts w:ascii="Times New Roman" w:hAnsi="Times New Roman" w:cs="Times New Roman"/>
          <w:b/>
          <w:bCs/>
          <w:sz w:val="24"/>
          <w:szCs w:val="24"/>
        </w:rPr>
        <w:t>eXtreme Gradient Boosting (XGBoost) model</w:t>
      </w:r>
    </w:p>
    <w:p w14:paraId="29190A61" w14:textId="1F92A627" w:rsidR="001167A0" w:rsidRPr="00721AE3" w:rsidRDefault="00421B9A" w:rsidP="0035503A">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To </w:t>
      </w:r>
      <w:r w:rsidR="00E051FD" w:rsidRPr="00721AE3">
        <w:rPr>
          <w:rFonts w:ascii="Times New Roman" w:hAnsi="Times New Roman" w:cs="Times New Roman"/>
          <w:sz w:val="24"/>
          <w:szCs w:val="24"/>
        </w:rPr>
        <w:t>examine</w:t>
      </w:r>
      <w:r w:rsidRPr="00721AE3">
        <w:rPr>
          <w:rFonts w:ascii="Times New Roman" w:hAnsi="Times New Roman" w:cs="Times New Roman"/>
          <w:sz w:val="24"/>
          <w:szCs w:val="24"/>
        </w:rPr>
        <w:t xml:space="preserve"> the distance decay effect of </w:t>
      </w:r>
      <w:r w:rsidR="00E051FD" w:rsidRPr="00721AE3">
        <w:rPr>
          <w:rFonts w:ascii="Times New Roman" w:hAnsi="Times New Roman" w:cs="Times New Roman"/>
          <w:sz w:val="24"/>
          <w:szCs w:val="24"/>
        </w:rPr>
        <w:t xml:space="preserve">urban </w:t>
      </w:r>
      <w:r w:rsidRPr="00721AE3">
        <w:rPr>
          <w:rFonts w:ascii="Times New Roman" w:hAnsi="Times New Roman" w:cs="Times New Roman"/>
          <w:sz w:val="24"/>
          <w:szCs w:val="24"/>
        </w:rPr>
        <w:t xml:space="preserve">amenities on housing prices, this study employs eXtreme Gradient Boosting (XGBoost), a </w:t>
      </w:r>
      <w:r w:rsidR="00F11071" w:rsidRPr="00721AE3">
        <w:rPr>
          <w:rFonts w:ascii="Times New Roman" w:hAnsi="Times New Roman" w:cs="Times New Roman"/>
          <w:sz w:val="24"/>
          <w:szCs w:val="24"/>
        </w:rPr>
        <w:t>robust ensemble machine learning method designed to capture complex and non-linear relationships</w:t>
      </w:r>
      <w:r w:rsidRPr="00721AE3">
        <w:rPr>
          <w:rFonts w:ascii="Times New Roman" w:hAnsi="Times New Roman" w:cs="Times New Roman"/>
          <w:sz w:val="24"/>
          <w:szCs w:val="24"/>
        </w:rPr>
        <w:t xml:space="preserve">. </w:t>
      </w:r>
      <w:r w:rsidR="0039781C" w:rsidRPr="00721AE3">
        <w:rPr>
          <w:rFonts w:ascii="Times New Roman" w:hAnsi="Times New Roman" w:cs="Times New Roman"/>
          <w:sz w:val="24"/>
          <w:szCs w:val="24"/>
        </w:rPr>
        <w:t>Conventional hedonic approaches typically rely on linear or log-linear specifications, which impose restrictive functional forms and often fail to capture the true complexity of the relationships between housing prices and their determinants</w:t>
      </w:r>
      <w:r w:rsidRPr="00721AE3">
        <w:rPr>
          <w:rFonts w:ascii="Times New Roman" w:hAnsi="Times New Roman" w:cs="Times New Roman"/>
          <w:sz w:val="24"/>
          <w:szCs w:val="24"/>
        </w:rPr>
        <w:t>. In contrast, XGBoost provides a flexible, data-driven framework that can uncover intricate patterns in the relationship between accessibility and property values without requiring prior assumptions about functional form (</w:t>
      </w:r>
      <w:r w:rsidR="004B61D1" w:rsidRPr="00721AE3">
        <w:rPr>
          <w:rFonts w:ascii="Times New Roman" w:hAnsi="Times New Roman" w:cs="Times New Roman"/>
          <w:sz w:val="24"/>
          <w:szCs w:val="24"/>
        </w:rPr>
        <w:t xml:space="preserve">Chen &amp; Guestrin, 2016; Chen et al., </w:t>
      </w:r>
      <w:r w:rsidR="009603B5" w:rsidRPr="00721AE3">
        <w:rPr>
          <w:rFonts w:ascii="Times New Roman" w:hAnsi="Times New Roman" w:cs="Times New Roman"/>
          <w:sz w:val="24"/>
          <w:szCs w:val="24"/>
        </w:rPr>
        <w:t xml:space="preserve">2023, </w:t>
      </w:r>
      <w:r w:rsidR="004B61D1" w:rsidRPr="00721AE3">
        <w:rPr>
          <w:rFonts w:ascii="Times New Roman" w:hAnsi="Times New Roman" w:cs="Times New Roman"/>
          <w:sz w:val="24"/>
          <w:szCs w:val="24"/>
        </w:rPr>
        <w:t>2025</w:t>
      </w:r>
      <w:r w:rsidRPr="00721AE3">
        <w:rPr>
          <w:rFonts w:ascii="Times New Roman" w:hAnsi="Times New Roman" w:cs="Times New Roman"/>
          <w:sz w:val="24"/>
          <w:szCs w:val="24"/>
        </w:rPr>
        <w:t>).</w:t>
      </w:r>
    </w:p>
    <w:p w14:paraId="40D4EDD3" w14:textId="14391E32" w:rsidR="00265BCE" w:rsidRPr="00721AE3" w:rsidRDefault="00BD52B4" w:rsidP="00D67CF7">
      <w:pPr>
        <w:spacing w:after="0"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 xml:space="preserve">XGBoost builds predictions through an additive ensemble of </w:t>
      </w:r>
      <m:oMath>
        <m:r>
          <w:rPr>
            <w:rFonts w:ascii="Cambria Math" w:hAnsi="Cambria Math" w:cs="Times New Roman"/>
            <w:sz w:val="24"/>
            <w:szCs w:val="24"/>
          </w:rPr>
          <m:t>K</m:t>
        </m:r>
      </m:oMath>
      <w:r w:rsidR="003D6B00"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regression trees. For a given observation </w:t>
      </w:r>
      <w:r w:rsidRPr="00721AE3">
        <w:rPr>
          <w:rFonts w:ascii="Cambria Math" w:hAnsi="Cambria Math" w:cs="Cambria Math"/>
          <w:sz w:val="24"/>
          <w:szCs w:val="24"/>
        </w:rPr>
        <w:t>𝑖</w:t>
      </w:r>
      <w:r w:rsidRPr="00721AE3">
        <w:rPr>
          <w:rFonts w:ascii="Times New Roman" w:hAnsi="Times New Roman" w:cs="Times New Roman"/>
          <w:sz w:val="24"/>
          <w:szCs w:val="24"/>
        </w:rPr>
        <w:t>, the predicted housing price is expressed as:</w:t>
      </w:r>
    </w:p>
    <w:p w14:paraId="0279AB15" w14:textId="77777777" w:rsidR="00A86C82" w:rsidRPr="00721AE3" w:rsidRDefault="00000000" w:rsidP="00D67CF7">
      <w:pPr>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acc>
                <m:accPr>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acc>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r>
                    <m:rPr>
                      <m:scr m:val="script"/>
                    </m:rPr>
                    <w:rPr>
                      <w:rFonts w:ascii="Cambria Math" w:hAnsi="Cambria Math" w:cs="Times New Roman"/>
                      <w:sz w:val="24"/>
                      <w:szCs w:val="24"/>
                    </w:rPr>
                    <m:t>∈F</m:t>
                  </m:r>
                </m:e>
              </m:nary>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e>
              </m:d>
            </m:e>
          </m:eqArr>
        </m:oMath>
      </m:oMathPara>
    </w:p>
    <w:p w14:paraId="4FBF2551" w14:textId="673D0979" w:rsidR="0047156A" w:rsidRPr="00721AE3" w:rsidRDefault="003E59C2" w:rsidP="00681A70">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Where</w:t>
      </w:r>
      <w:r w:rsidR="00106ACE" w:rsidRPr="00721AE3">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p>
          <m:sSupPr>
            <m:ctrlPr>
              <w:rPr>
                <w:rFonts w:ascii="Cambria Math" w:hAnsi="Cambria Math" w:cs="Times New Roman"/>
                <w:i/>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m</m:t>
            </m:r>
          </m:sup>
        </m:sSup>
      </m:oMath>
      <w:r w:rsidRPr="00721AE3">
        <w:rPr>
          <w:rFonts w:ascii="Times New Roman" w:hAnsi="Times New Roman" w:cs="Times New Roman"/>
          <w:sz w:val="24"/>
          <w:szCs w:val="24"/>
        </w:rPr>
        <w:t xml:space="preserve"> </w:t>
      </w:r>
      <w:r w:rsidR="009A7BE5" w:rsidRPr="00721AE3">
        <w:rPr>
          <w:rFonts w:ascii="Times New Roman" w:hAnsi="Times New Roman" w:cs="Times New Roman"/>
          <w:sz w:val="24"/>
          <w:szCs w:val="24"/>
        </w:rPr>
        <w:t>represents</w:t>
      </w:r>
      <w:r w:rsidR="00C42FBC" w:rsidRPr="00721AE3">
        <w:rPr>
          <w:rFonts w:ascii="Times New Roman" w:hAnsi="Times New Roman" w:cs="Times New Roman"/>
          <w:sz w:val="24"/>
          <w:szCs w:val="24"/>
        </w:rPr>
        <w:t xml:space="preserve"> the feature </w:t>
      </w:r>
      <w:r w:rsidR="002C7BB5" w:rsidRPr="00721AE3">
        <w:rPr>
          <w:rFonts w:ascii="Times New Roman" w:hAnsi="Times New Roman" w:cs="Times New Roman"/>
          <w:sz w:val="24"/>
          <w:szCs w:val="24"/>
        </w:rPr>
        <w:t xml:space="preserve">vector of the </w:t>
      </w:r>
      <m:oMath>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th</m:t>
            </m:r>
          </m:sup>
        </m:sSup>
      </m:oMath>
      <w:r w:rsidR="002C7BB5" w:rsidRPr="00721AE3">
        <w:rPr>
          <w:rFonts w:ascii="Times New Roman" w:hAnsi="Times New Roman" w:cs="Times New Roman"/>
          <w:sz w:val="24"/>
          <w:szCs w:val="24"/>
        </w:rPr>
        <w:t xml:space="preserve"> </w:t>
      </w:r>
      <w:r w:rsidR="00F87FF0" w:rsidRPr="00721AE3">
        <w:rPr>
          <w:rFonts w:ascii="Times New Roman" w:hAnsi="Times New Roman" w:cs="Times New Roman"/>
          <w:sz w:val="24"/>
          <w:szCs w:val="24"/>
        </w:rPr>
        <w:t>observation</w:t>
      </w:r>
      <w:r w:rsidR="002C7BB5" w:rsidRPr="00721AE3">
        <w:rPr>
          <w:rFonts w:ascii="Times New Roman" w:hAnsi="Times New Roman" w:cs="Times New Roman"/>
          <w:sz w:val="24"/>
          <w:szCs w:val="24"/>
        </w:rPr>
        <w:t>,</w:t>
      </w:r>
      <w:r w:rsidRPr="00721AE3">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oMath>
      <w:r w:rsidRPr="00721AE3">
        <w:rPr>
          <w:rFonts w:ascii="Times New Roman" w:hAnsi="Times New Roman" w:cs="Times New Roman"/>
          <w:sz w:val="24"/>
          <w:szCs w:val="24"/>
        </w:rPr>
        <w:t xml:space="preserve">​ </w:t>
      </w:r>
      <w:r w:rsidR="009A7BE5" w:rsidRPr="00721AE3">
        <w:rPr>
          <w:rFonts w:ascii="Times New Roman" w:hAnsi="Times New Roman" w:cs="Times New Roman"/>
          <w:sz w:val="24"/>
          <w:szCs w:val="24"/>
        </w:rPr>
        <w:t>denotes the</w:t>
      </w:r>
      <w:r w:rsidRPr="00721AE3">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th</m:t>
            </m:r>
          </m:sup>
        </m:sSup>
      </m:oMath>
      <w:r w:rsidR="00106ACE"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regression tree, and </w:t>
      </w:r>
      <m:oMath>
        <m:r>
          <m:rPr>
            <m:scr m:val="script"/>
          </m:rPr>
          <w:rPr>
            <w:rFonts w:ascii="Cambria Math" w:hAnsi="Cambria Math" w:cs="Times New Roman"/>
            <w:sz w:val="24"/>
            <w:szCs w:val="24"/>
          </w:rPr>
          <m:t>F</m:t>
        </m:r>
      </m:oMath>
      <w:r w:rsidRPr="00721AE3">
        <w:rPr>
          <w:rFonts w:ascii="Times New Roman" w:hAnsi="Times New Roman" w:cs="Times New Roman"/>
          <w:sz w:val="24"/>
          <w:szCs w:val="24"/>
        </w:rPr>
        <w:t xml:space="preserve"> </w:t>
      </w:r>
      <w:r w:rsidR="00745660" w:rsidRPr="00721AE3">
        <w:rPr>
          <w:rFonts w:ascii="Times New Roman" w:hAnsi="Times New Roman" w:cs="Times New Roman"/>
          <w:sz w:val="24"/>
          <w:szCs w:val="24"/>
        </w:rPr>
        <w:t>denotes the functional space of regression trees</w:t>
      </w:r>
      <w:r w:rsidRPr="00721AE3">
        <w:rPr>
          <w:rFonts w:ascii="Times New Roman" w:hAnsi="Times New Roman" w:cs="Times New Roman"/>
          <w:sz w:val="24"/>
          <w:szCs w:val="24"/>
        </w:rPr>
        <w:t xml:space="preserve">. </w:t>
      </w:r>
      <w:r w:rsidR="00146079" w:rsidRPr="00721AE3">
        <w:rPr>
          <w:rFonts w:ascii="Times New Roman" w:hAnsi="Times New Roman" w:cs="Times New Roman"/>
          <w:sz w:val="24"/>
          <w:szCs w:val="24"/>
        </w:rPr>
        <w:t xml:space="preserve">The model is constructed iteratively, with each new tree fitted to the </w:t>
      </w:r>
      <w:r w:rsidR="00A804A4" w:rsidRPr="00721AE3">
        <w:rPr>
          <w:rFonts w:ascii="Times New Roman" w:hAnsi="Times New Roman" w:cs="Times New Roman"/>
          <w:sz w:val="24"/>
          <w:szCs w:val="24"/>
        </w:rPr>
        <w:t>error</w:t>
      </w:r>
      <w:r w:rsidR="00146079" w:rsidRPr="00721AE3">
        <w:rPr>
          <w:rFonts w:ascii="Times New Roman" w:hAnsi="Times New Roman" w:cs="Times New Roman"/>
          <w:sz w:val="24"/>
          <w:szCs w:val="24"/>
        </w:rPr>
        <w:t>s of the previous ensemble, allowing the algorithm to progressively refine its predictions and capture complex feature interactions.</w:t>
      </w:r>
      <w:r w:rsidR="00325E6F" w:rsidRPr="00721AE3">
        <w:rPr>
          <w:rFonts w:ascii="Times New Roman" w:hAnsi="Times New Roman" w:cs="Times New Roman"/>
          <w:sz w:val="24"/>
          <w:szCs w:val="24"/>
        </w:rPr>
        <w:t xml:space="preserve"> </w:t>
      </w:r>
    </w:p>
    <w:p w14:paraId="1E3361BF" w14:textId="3A2ECC9F" w:rsidR="0021423B" w:rsidRPr="00721AE3" w:rsidRDefault="00EF6153" w:rsidP="00277457">
      <w:pPr>
        <w:spacing w:after="0"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A defining feature of XGBoost is its regularized objective function, </w:t>
      </w:r>
      <w:r w:rsidR="005A1D33" w:rsidRPr="00721AE3">
        <w:rPr>
          <w:rFonts w:ascii="Times New Roman" w:hAnsi="Times New Roman" w:cs="Times New Roman"/>
          <w:sz w:val="24"/>
          <w:szCs w:val="24"/>
        </w:rPr>
        <w:t>designed to</w:t>
      </w:r>
      <w:r w:rsidR="00637AAA" w:rsidRPr="00721AE3">
        <w:rPr>
          <w:rFonts w:ascii="Times New Roman" w:hAnsi="Times New Roman" w:cs="Times New Roman"/>
          <w:sz w:val="24"/>
          <w:szCs w:val="24"/>
        </w:rPr>
        <w:t xml:space="preserve"> balance</w:t>
      </w:r>
      <w:r w:rsidRPr="00721AE3">
        <w:rPr>
          <w:rFonts w:ascii="Times New Roman" w:hAnsi="Times New Roman" w:cs="Times New Roman"/>
          <w:sz w:val="24"/>
          <w:szCs w:val="24"/>
        </w:rPr>
        <w:t xml:space="preserve"> predictive accuracy with model complexity. The objective function consists of a loss term and a penalty component</w:t>
      </w:r>
      <w:r w:rsidR="0021423B" w:rsidRPr="00721AE3">
        <w:rPr>
          <w:rFonts w:ascii="Times New Roman" w:hAnsi="Times New Roman" w:cs="Times New Roman"/>
          <w:sz w:val="24"/>
          <w:szCs w:val="24"/>
        </w:rPr>
        <w:t>:</w:t>
      </w:r>
    </w:p>
    <w:p w14:paraId="3439A644" w14:textId="270A8268" w:rsidR="0021423B" w:rsidRPr="00721AE3" w:rsidRDefault="00000000" w:rsidP="00CE2308">
      <w:pPr>
        <w:spacing w:line="360" w:lineRule="auto"/>
        <w:rPr>
          <w:rFonts w:ascii="Aptos" w:eastAsia="宋体" w:hAnsi="Aptos" w:cs="Times New Roman"/>
          <w:sz w:val="24"/>
          <w:szCs w:val="24"/>
          <w:lang w:eastAsia="zh-CN"/>
        </w:rPr>
      </w:pPr>
      <m:oMathPara>
        <m:oMath>
          <m:eqArr>
            <m:eqArrPr>
              <m:maxDist m:val="1"/>
              <m:ctrlPr>
                <w:rPr>
                  <w:rFonts w:ascii="Cambria Math" w:eastAsia="等线" w:hAnsi="Cambria Math" w:cs="Times New Roman"/>
                  <w:i/>
                  <w:sz w:val="24"/>
                  <w:szCs w:val="24"/>
                  <w:lang w:eastAsia="zh-CN"/>
                </w:rPr>
              </m:ctrlPr>
            </m:eqArrPr>
            <m:e>
              <m:r>
                <m:rPr>
                  <m:scr m:val="script"/>
                </m:rPr>
                <w:rPr>
                  <w:rFonts w:ascii="Cambria Math" w:eastAsia="等线" w:hAnsi="Cambria Math" w:cs="Times New Roman"/>
                  <w:sz w:val="24"/>
                  <w:szCs w:val="24"/>
                  <w:lang w:eastAsia="zh-CN"/>
                </w:rPr>
                <m:t>L=</m:t>
              </m:r>
              <m:nary>
                <m:naryPr>
                  <m:chr m:val="∑"/>
                  <m:limLoc m:val="undOvr"/>
                  <m:ctrlPr>
                    <w:rPr>
                      <w:rFonts w:ascii="Cambria Math" w:eastAsia="宋体" w:hAnsi="Cambria Math" w:cs="Times New Roman"/>
                      <w:i/>
                      <w:sz w:val="24"/>
                      <w:szCs w:val="24"/>
                      <w:lang w:eastAsia="zh-CN"/>
                    </w:rPr>
                  </m:ctrlPr>
                </m:naryPr>
                <m:sub>
                  <m:r>
                    <w:rPr>
                      <w:rFonts w:ascii="Cambria Math" w:eastAsia="等线" w:hAnsi="Cambria Math" w:cs="Times New Roman"/>
                      <w:sz w:val="24"/>
                      <w:szCs w:val="24"/>
                      <w:lang w:eastAsia="zh-CN"/>
                    </w:rPr>
                    <m:t>i=1</m:t>
                  </m:r>
                </m:sub>
                <m:sup>
                  <m:r>
                    <w:rPr>
                      <w:rFonts w:ascii="Cambria Math" w:eastAsia="等线" w:hAnsi="Cambria Math" w:cs="Times New Roman"/>
                      <w:sz w:val="24"/>
                      <w:szCs w:val="24"/>
                      <w:lang w:eastAsia="zh-CN"/>
                    </w:rPr>
                    <m:t>n</m:t>
                  </m:r>
                </m:sup>
                <m:e>
                  <m:r>
                    <w:rPr>
                      <w:rFonts w:ascii="Cambria Math" w:eastAsia="等线" w:hAnsi="Cambria Math" w:cs="Times New Roman"/>
                      <w:sz w:val="24"/>
                      <w:szCs w:val="24"/>
                      <w:lang w:eastAsia="zh-CN"/>
                    </w:rPr>
                    <m:t>l</m:t>
                  </m:r>
                  <m:d>
                    <m:dPr>
                      <m:ctrlPr>
                        <w:rPr>
                          <w:rFonts w:ascii="Cambria Math" w:eastAsia="等线" w:hAnsi="Cambria Math" w:cs="Times New Roman"/>
                          <w:i/>
                          <w:sz w:val="24"/>
                          <w:szCs w:val="24"/>
                          <w:lang w:eastAsia="zh-CN"/>
                        </w:rPr>
                      </m:ctrlPr>
                    </m:dPr>
                    <m:e>
                      <m:sSub>
                        <m:sSubPr>
                          <m:ctrlPr>
                            <w:rPr>
                              <w:rFonts w:ascii="Cambria Math" w:eastAsia="宋体" w:hAnsi="Cambria Math" w:cs="Times New Roman"/>
                              <w:i/>
                              <w:sz w:val="24"/>
                              <w:szCs w:val="24"/>
                              <w:lang w:eastAsia="zh-CN"/>
                            </w:rPr>
                          </m:ctrlPr>
                        </m:sSubPr>
                        <m:e>
                          <m:r>
                            <w:rPr>
                              <w:rFonts w:ascii="Cambria Math" w:eastAsia="等线" w:hAnsi="Cambria Math" w:cs="Times New Roman"/>
                              <w:sz w:val="24"/>
                              <w:szCs w:val="24"/>
                              <w:lang w:eastAsia="zh-CN"/>
                            </w:rPr>
                            <m:t>y</m:t>
                          </m:r>
                        </m:e>
                        <m:sub>
                          <m:r>
                            <w:rPr>
                              <w:rFonts w:ascii="Cambria Math" w:eastAsia="等线" w:hAnsi="Cambria Math" w:cs="Times New Roman"/>
                              <w:sz w:val="24"/>
                              <w:szCs w:val="24"/>
                              <w:lang w:eastAsia="zh-CN"/>
                            </w:rPr>
                            <m:t>i</m:t>
                          </m:r>
                        </m:sub>
                      </m:sSub>
                      <m:r>
                        <w:rPr>
                          <w:rFonts w:ascii="Cambria Math" w:eastAsia="等线" w:hAnsi="Cambria Math" w:cs="Times New Roman"/>
                          <w:sz w:val="24"/>
                          <w:szCs w:val="24"/>
                          <w:lang w:eastAsia="zh-CN"/>
                        </w:rPr>
                        <m:t>,</m:t>
                      </m:r>
                      <m:sSub>
                        <m:sSubPr>
                          <m:ctrlPr>
                            <w:rPr>
                              <w:rFonts w:ascii="Cambria Math" w:eastAsia="宋体" w:hAnsi="Cambria Math" w:cs="Times New Roman"/>
                              <w:i/>
                              <w:sz w:val="24"/>
                              <w:szCs w:val="24"/>
                              <w:lang w:eastAsia="zh-CN"/>
                            </w:rPr>
                          </m:ctrlPr>
                        </m:sSubPr>
                        <m:e>
                          <m:acc>
                            <m:accPr>
                              <m:ctrlPr>
                                <w:rPr>
                                  <w:rFonts w:ascii="Cambria Math" w:eastAsia="宋体" w:hAnsi="Cambria Math" w:cs="Times New Roman"/>
                                  <w:i/>
                                  <w:sz w:val="24"/>
                                  <w:szCs w:val="24"/>
                                  <w:lang w:eastAsia="zh-CN"/>
                                </w:rPr>
                              </m:ctrlPr>
                            </m:accPr>
                            <m:e>
                              <m:r>
                                <w:rPr>
                                  <w:rFonts w:ascii="Cambria Math" w:eastAsia="等线" w:hAnsi="Cambria Math" w:cs="Times New Roman"/>
                                  <w:sz w:val="24"/>
                                  <w:szCs w:val="24"/>
                                  <w:lang w:eastAsia="zh-CN"/>
                                </w:rPr>
                                <m:t>y</m:t>
                              </m:r>
                            </m:e>
                          </m:acc>
                        </m:e>
                        <m:sub>
                          <m:r>
                            <w:rPr>
                              <w:rFonts w:ascii="Cambria Math" w:eastAsia="等线" w:hAnsi="Cambria Math" w:cs="Times New Roman"/>
                              <w:sz w:val="24"/>
                              <w:szCs w:val="24"/>
                              <w:lang w:eastAsia="zh-CN"/>
                            </w:rPr>
                            <m:t>i</m:t>
                          </m:r>
                        </m:sub>
                      </m:sSub>
                    </m:e>
                  </m:d>
                  <m:r>
                    <w:rPr>
                      <w:rFonts w:ascii="Cambria Math" w:eastAsia="等线" w:hAnsi="Cambria Math" w:cs="Times New Roman"/>
                      <w:sz w:val="24"/>
                      <w:szCs w:val="24"/>
                      <w:lang w:eastAsia="zh-CN"/>
                    </w:rPr>
                    <m:t>+</m:t>
                  </m:r>
                  <m:nary>
                    <m:naryPr>
                      <m:chr m:val="∑"/>
                      <m:limLoc m:val="undOvr"/>
                      <m:ctrlPr>
                        <w:rPr>
                          <w:rFonts w:ascii="Cambria Math" w:eastAsia="宋体" w:hAnsi="Cambria Math" w:cs="Times New Roman"/>
                          <w:i/>
                          <w:sz w:val="24"/>
                          <w:szCs w:val="24"/>
                          <w:lang w:eastAsia="zh-CN"/>
                        </w:rPr>
                      </m:ctrlPr>
                    </m:naryPr>
                    <m:sub>
                      <m:r>
                        <w:rPr>
                          <w:rFonts w:ascii="Cambria Math" w:eastAsia="等线" w:hAnsi="Cambria Math" w:cs="Times New Roman"/>
                          <w:sz w:val="24"/>
                          <w:szCs w:val="24"/>
                          <w:lang w:eastAsia="zh-CN"/>
                        </w:rPr>
                        <m:t>k=1</m:t>
                      </m:r>
                    </m:sub>
                    <m:sup>
                      <m:r>
                        <w:rPr>
                          <w:rFonts w:ascii="Cambria Math" w:eastAsia="等线" w:hAnsi="Cambria Math" w:cs="Times New Roman"/>
                          <w:sz w:val="24"/>
                          <w:szCs w:val="24"/>
                          <w:lang w:eastAsia="zh-CN"/>
                        </w:rPr>
                        <m:t>K</m:t>
                      </m:r>
                    </m:sup>
                    <m:e>
                      <m:r>
                        <m:rPr>
                          <m:sty m:val="p"/>
                        </m:rPr>
                        <w:rPr>
                          <w:rFonts w:ascii="Cambria Math" w:eastAsia="等线" w:hAnsi="Cambria Math" w:cs="Times New Roman"/>
                          <w:sz w:val="24"/>
                          <w:szCs w:val="24"/>
                          <w:lang w:eastAsia="zh-CN"/>
                        </w:rPr>
                        <m:t>Ω(</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r>
                        <m:rPr>
                          <m:sty m:val="p"/>
                        </m:rPr>
                        <w:rPr>
                          <w:rFonts w:ascii="Cambria Math" w:hAnsi="Cambria Math" w:cs="Times New Roman"/>
                          <w:sz w:val="24"/>
                          <w:szCs w:val="24"/>
                        </w:rPr>
                        <m:t>​</m:t>
                      </m:r>
                      <m:r>
                        <m:rPr>
                          <m:sty m:val="p"/>
                        </m:rPr>
                        <w:rPr>
                          <w:rFonts w:ascii="Cambria Math" w:eastAsia="等线" w:hAnsi="Cambria Math" w:cs="Times New Roman"/>
                          <w:sz w:val="24"/>
                          <w:szCs w:val="24"/>
                          <w:lang w:eastAsia="zh-CN"/>
                        </w:rPr>
                        <m:t>)</m:t>
                      </m:r>
                    </m:e>
                  </m:nary>
                </m:e>
              </m:nary>
              <m:r>
                <w:rPr>
                  <w:rFonts w:ascii="Cambria Math" w:eastAsia="等线" w:hAnsi="Cambria Math" w:cs="Times New Roman"/>
                  <w:sz w:val="24"/>
                  <w:szCs w:val="24"/>
                  <w:lang w:eastAsia="zh-CN"/>
                </w:rPr>
                <m:t>#</m:t>
              </m:r>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2</m:t>
                  </m:r>
                </m:e>
              </m:d>
            </m:e>
          </m:eqArr>
        </m:oMath>
      </m:oMathPara>
    </w:p>
    <w:p w14:paraId="03C91A09" w14:textId="37AF8531" w:rsidR="008D4BCF" w:rsidRPr="00721AE3" w:rsidRDefault="00CF21D3" w:rsidP="00681A70">
      <w:pPr>
        <w:spacing w:after="0"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Where </w:t>
      </w:r>
      <w:bookmarkStart w:id="1" w:name="_Hlk226306517"/>
      <m:oMath>
        <m:r>
          <w:rPr>
            <w:rFonts w:ascii="Cambria Math" w:hAnsi="Cambria Math" w:cs="Times New Roman"/>
            <w:sz w:val="24"/>
            <w:szCs w:val="24"/>
          </w:rPr>
          <m:t>l(.)</m:t>
        </m:r>
      </m:oMath>
      <w:bookmarkEnd w:id="1"/>
      <w:r w:rsidR="0021423B" w:rsidRPr="00721AE3">
        <w:rPr>
          <w:rFonts w:ascii="Times New Roman" w:hAnsi="Times New Roman" w:cs="Times New Roman"/>
          <w:sz w:val="24"/>
          <w:szCs w:val="24"/>
        </w:rPr>
        <w:t xml:space="preserve"> </w:t>
      </w:r>
      <w:r w:rsidR="0033493C" w:rsidRPr="00721AE3">
        <w:rPr>
          <w:rFonts w:ascii="Times New Roman" w:hAnsi="Times New Roman" w:cs="Times New Roman"/>
          <w:sz w:val="24"/>
          <w:szCs w:val="24"/>
        </w:rPr>
        <w:t xml:space="preserve">represents the loss function measuring the difference between </w:t>
      </w:r>
      <w:r w:rsidR="00EF4EAC" w:rsidRPr="00721AE3">
        <w:rPr>
          <w:rFonts w:ascii="Times New Roman" w:hAnsi="Times New Roman" w:cs="Times New Roman"/>
          <w:sz w:val="24"/>
          <w:szCs w:val="24"/>
        </w:rPr>
        <w:t xml:space="preserve">the true target </w:t>
      </w:r>
      <m:oMath>
        <m:sSub>
          <m:sSubPr>
            <m:ctrlPr>
              <w:rPr>
                <w:rFonts w:ascii="Cambria Math" w:eastAsia="宋体" w:hAnsi="Cambria Math" w:cs="Times New Roman"/>
                <w:i/>
                <w:sz w:val="24"/>
                <w:szCs w:val="24"/>
                <w:lang w:eastAsia="zh-CN"/>
              </w:rPr>
            </m:ctrlPr>
          </m:sSubPr>
          <m:e>
            <m:r>
              <w:rPr>
                <w:rFonts w:ascii="Cambria Math" w:eastAsia="等线" w:hAnsi="Cambria Math" w:cs="Times New Roman"/>
                <w:sz w:val="24"/>
                <w:szCs w:val="24"/>
                <w:lang w:eastAsia="zh-CN"/>
              </w:rPr>
              <m:t>y</m:t>
            </m:r>
          </m:e>
          <m:sub>
            <m:r>
              <w:rPr>
                <w:rFonts w:ascii="Cambria Math" w:eastAsia="等线" w:hAnsi="Cambria Math" w:cs="Times New Roman"/>
                <w:sz w:val="24"/>
                <w:szCs w:val="24"/>
                <w:lang w:eastAsia="zh-CN"/>
              </w:rPr>
              <m:t>i</m:t>
            </m:r>
          </m:sub>
        </m:sSub>
      </m:oMath>
      <w:r w:rsidR="00EF4EAC" w:rsidRPr="00721AE3">
        <w:rPr>
          <w:rFonts w:ascii="Times New Roman" w:hAnsi="Times New Roman" w:cs="Times New Roman"/>
          <w:sz w:val="24"/>
          <w:szCs w:val="24"/>
        </w:rPr>
        <w:t xml:space="preserve"> and the prediction </w:t>
      </w:r>
      <m:oMath>
        <m:sSub>
          <m:sSubPr>
            <m:ctrlPr>
              <w:rPr>
                <w:rFonts w:ascii="Cambria Math" w:eastAsia="宋体" w:hAnsi="Cambria Math" w:cs="Times New Roman"/>
                <w:i/>
                <w:sz w:val="24"/>
                <w:szCs w:val="24"/>
                <w:lang w:eastAsia="zh-CN"/>
              </w:rPr>
            </m:ctrlPr>
          </m:sSubPr>
          <m:e>
            <m:acc>
              <m:accPr>
                <m:ctrlPr>
                  <w:rPr>
                    <w:rFonts w:ascii="Cambria Math" w:eastAsia="宋体" w:hAnsi="Cambria Math" w:cs="Times New Roman"/>
                    <w:i/>
                    <w:sz w:val="24"/>
                    <w:szCs w:val="24"/>
                    <w:lang w:eastAsia="zh-CN"/>
                  </w:rPr>
                </m:ctrlPr>
              </m:accPr>
              <m:e>
                <m:r>
                  <w:rPr>
                    <w:rFonts w:ascii="Cambria Math" w:eastAsia="等线" w:hAnsi="Cambria Math" w:cs="Times New Roman"/>
                    <w:sz w:val="24"/>
                    <w:szCs w:val="24"/>
                    <w:lang w:eastAsia="zh-CN"/>
                  </w:rPr>
                  <m:t>y</m:t>
                </m:r>
              </m:e>
            </m:acc>
          </m:e>
          <m:sub>
            <m:r>
              <w:rPr>
                <w:rFonts w:ascii="Cambria Math" w:eastAsia="等线" w:hAnsi="Cambria Math" w:cs="Times New Roman"/>
                <w:sz w:val="24"/>
                <w:szCs w:val="24"/>
                <w:lang w:eastAsia="zh-CN"/>
              </w:rPr>
              <m:t>i</m:t>
            </m:r>
          </m:sub>
        </m:sSub>
      </m:oMath>
      <w:r w:rsidR="00831A7A" w:rsidRPr="00721AE3">
        <w:rPr>
          <w:rFonts w:ascii="Times New Roman" w:hAnsi="Times New Roman" w:cs="Times New Roman"/>
          <w:sz w:val="24"/>
          <w:szCs w:val="24"/>
          <w:lang w:eastAsia="zh-CN"/>
        </w:rPr>
        <w:t xml:space="preserve">, and </w:t>
      </w:r>
      <m:oMath>
        <m:r>
          <m:rPr>
            <m:sty m:val="p"/>
          </m:rPr>
          <w:rPr>
            <w:rFonts w:ascii="Cambria Math" w:eastAsia="等线" w:hAnsi="Cambria Math" w:cs="Times New Roman"/>
            <w:sz w:val="24"/>
            <w:szCs w:val="24"/>
            <w:lang w:eastAsia="zh-CN"/>
          </w:rPr>
          <m:t>Ω</m:t>
        </m:r>
        <m:d>
          <m:dPr>
            <m:ctrlPr>
              <w:rPr>
                <w:rFonts w:ascii="Cambria Math" w:eastAsia="等线" w:hAnsi="Cambria Math" w:cs="Times New Roman"/>
                <w:sz w:val="24"/>
                <w:szCs w:val="24"/>
                <w:lang w:eastAsia="zh-CN"/>
              </w:rPr>
            </m:ctrlPr>
          </m:dP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r>
              <m:rPr>
                <m:sty m:val="p"/>
              </m:rPr>
              <w:rPr>
                <w:rFonts w:ascii="Cambria Math" w:hAnsi="Cambria Math" w:cs="Times New Roman"/>
                <w:sz w:val="24"/>
                <w:szCs w:val="24"/>
              </w:rPr>
              <m:t>​</m:t>
            </m:r>
          </m:e>
        </m:d>
      </m:oMath>
      <w:r w:rsidR="00210AC3" w:rsidRPr="00721AE3">
        <w:rPr>
          <w:rFonts w:ascii="Times New Roman" w:hAnsi="Times New Roman" w:cs="Times New Roman"/>
          <w:sz w:val="24"/>
          <w:szCs w:val="24"/>
        </w:rPr>
        <w:t xml:space="preserve"> is a regularization term that penalizes model complexity to mitigate overfitting:</w:t>
      </w:r>
    </w:p>
    <w:p w14:paraId="241E5A59" w14:textId="654EF391" w:rsidR="00513C93" w:rsidRPr="00721AE3" w:rsidRDefault="00513C93" w:rsidP="00D67CF7">
      <w:pPr>
        <w:jc w:val="both"/>
        <w:rPr>
          <w:rFonts w:ascii="Times New Roman" w:hAnsi="Times New Roman" w:cs="Times New Roman"/>
          <w:i/>
          <w:sz w:val="24"/>
          <w:szCs w:val="24"/>
        </w:rPr>
      </w:pPr>
      <m:oMathPara>
        <m:oMathParaPr>
          <m:jc m:val="right"/>
        </m:oMathParaPr>
        <m:oMath>
          <m:r>
            <m:rPr>
              <m:sty m:val="p"/>
            </m:rPr>
            <w:rPr>
              <w:rFonts w:ascii="Cambria Math" w:eastAsia="等线" w:hAnsi="Cambria Math" w:cs="Times New Roman"/>
              <w:sz w:val="24"/>
              <w:szCs w:val="24"/>
              <w:lang w:eastAsia="zh-CN"/>
            </w:rPr>
            <m:t>Ω</m:t>
          </m:r>
          <m:d>
            <m:dPr>
              <m:ctrlPr>
                <w:rPr>
                  <w:rFonts w:ascii="Cambria Math" w:eastAsia="等线" w:hAnsi="Cambria Math" w:cs="Times New Roman"/>
                  <w:sz w:val="24"/>
                  <w:szCs w:val="24"/>
                  <w:lang w:eastAsia="zh-CN"/>
                </w:rPr>
              </m:ctrlPr>
            </m:dP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r>
                <m:rPr>
                  <m:sty m:val="p"/>
                </m:rPr>
                <w:rPr>
                  <w:rFonts w:ascii="Cambria Math" w:hAnsi="Cambria Math" w:cs="Times New Roman"/>
                  <w:sz w:val="24"/>
                  <w:szCs w:val="24"/>
                </w:rPr>
                <m:t>​</m:t>
              </m:r>
            </m:e>
          </m:d>
          <m:r>
            <w:rPr>
              <w:rFonts w:ascii="Cambria Math" w:eastAsia="等线" w:hAnsi="Cambria Math" w:cs="Times New Roman"/>
              <w:sz w:val="24"/>
              <w:szCs w:val="24"/>
              <w:lang w:eastAsia="zh-CN"/>
            </w:rPr>
            <m:t>=γ</m:t>
          </m:r>
          <m:sSub>
            <m:sSubPr>
              <m:ctrlPr>
                <w:rPr>
                  <w:rFonts w:ascii="Cambria Math" w:eastAsia="宋体" w:hAnsi="Cambria Math" w:cs="Times New Roman"/>
                  <w:i/>
                  <w:sz w:val="24"/>
                  <w:szCs w:val="24"/>
                  <w:lang w:eastAsia="zh-CN"/>
                </w:rPr>
              </m:ctrlPr>
            </m:sSubPr>
            <m:e>
              <m:r>
                <w:rPr>
                  <w:rFonts w:ascii="Cambria Math" w:eastAsia="等线" w:hAnsi="Cambria Math" w:cs="Times New Roman"/>
                  <w:sz w:val="24"/>
                  <w:szCs w:val="24"/>
                  <w:lang w:eastAsia="zh-CN"/>
                </w:rPr>
                <m:t>T</m:t>
              </m:r>
            </m:e>
            <m:sub>
              <m:r>
                <w:rPr>
                  <w:rFonts w:ascii="Cambria Math" w:eastAsia="等线" w:hAnsi="Cambria Math" w:cs="Times New Roman"/>
                  <w:sz w:val="24"/>
                  <w:szCs w:val="24"/>
                  <w:lang w:eastAsia="zh-CN"/>
                </w:rPr>
                <m:t>k</m:t>
              </m:r>
            </m:sub>
          </m:sSub>
          <m:r>
            <w:rPr>
              <w:rFonts w:ascii="Cambria Math" w:eastAsia="等线" w:hAnsi="Cambria Math" w:cs="Times New Roman"/>
              <w:sz w:val="24"/>
              <w:szCs w:val="24"/>
              <w:lang w:eastAsia="zh-CN"/>
            </w:rPr>
            <m:t>+</m:t>
          </m:r>
          <m:f>
            <m:fPr>
              <m:ctrlPr>
                <w:rPr>
                  <w:rFonts w:ascii="Cambria Math" w:eastAsia="宋体" w:hAnsi="Cambria Math" w:cs="Times New Roman"/>
                  <w:i/>
                  <w:sz w:val="24"/>
                  <w:szCs w:val="24"/>
                  <w:lang w:eastAsia="zh-CN"/>
                </w:rPr>
              </m:ctrlPr>
            </m:fPr>
            <m:num>
              <m:r>
                <w:rPr>
                  <w:rFonts w:ascii="Cambria Math" w:eastAsia="等线" w:hAnsi="Cambria Math" w:cs="Times New Roman"/>
                  <w:sz w:val="24"/>
                  <w:szCs w:val="24"/>
                  <w:lang w:eastAsia="zh-CN"/>
                </w:rPr>
                <m:t>1</m:t>
              </m:r>
            </m:num>
            <m:den>
              <m:r>
                <w:rPr>
                  <w:rFonts w:ascii="Cambria Math" w:eastAsia="等线" w:hAnsi="Cambria Math" w:cs="Times New Roman"/>
                  <w:sz w:val="24"/>
                  <w:szCs w:val="24"/>
                  <w:lang w:eastAsia="zh-CN"/>
                </w:rPr>
                <m:t>2</m:t>
              </m:r>
            </m:den>
          </m:f>
          <m:r>
            <w:rPr>
              <w:rFonts w:ascii="Cambria Math" w:eastAsia="等线" w:hAnsi="Cambria Math" w:cs="Times New Roman"/>
              <w:sz w:val="24"/>
              <w:szCs w:val="24"/>
              <w:lang w:eastAsia="zh-CN"/>
            </w:rPr>
            <m:t>λ</m:t>
          </m:r>
          <m:nary>
            <m:naryPr>
              <m:chr m:val="∑"/>
              <m:limLoc m:val="undOvr"/>
              <m:ctrlPr>
                <w:rPr>
                  <w:rFonts w:ascii="Cambria Math" w:eastAsia="宋体" w:hAnsi="Cambria Math" w:cs="Times New Roman"/>
                  <w:i/>
                  <w:sz w:val="24"/>
                  <w:szCs w:val="24"/>
                  <w:lang w:eastAsia="zh-CN"/>
                </w:rPr>
              </m:ctrlPr>
            </m:naryPr>
            <m:sub>
              <m:r>
                <w:rPr>
                  <w:rFonts w:ascii="Cambria Math" w:eastAsia="等线" w:hAnsi="Cambria Math" w:cs="Times New Roman"/>
                  <w:sz w:val="24"/>
                  <w:szCs w:val="24"/>
                  <w:lang w:eastAsia="zh-CN"/>
                </w:rPr>
                <m:t>j=1</m:t>
              </m:r>
            </m:sub>
            <m:sup>
              <m:sSub>
                <m:sSubPr>
                  <m:ctrlPr>
                    <w:rPr>
                      <w:rFonts w:ascii="Cambria Math" w:eastAsia="宋体" w:hAnsi="Cambria Math" w:cs="Times New Roman"/>
                      <w:i/>
                      <w:sz w:val="24"/>
                      <w:szCs w:val="24"/>
                      <w:lang w:eastAsia="zh-CN"/>
                    </w:rPr>
                  </m:ctrlPr>
                </m:sSubPr>
                <m:e>
                  <m:r>
                    <w:rPr>
                      <w:rFonts w:ascii="Cambria Math" w:eastAsia="等线" w:hAnsi="Cambria Math" w:cs="Times New Roman"/>
                      <w:sz w:val="24"/>
                      <w:szCs w:val="24"/>
                      <w:lang w:eastAsia="zh-CN"/>
                    </w:rPr>
                    <m:t>T</m:t>
                  </m:r>
                </m:e>
                <m:sub>
                  <m:r>
                    <w:rPr>
                      <w:rFonts w:ascii="Cambria Math" w:eastAsia="等线" w:hAnsi="Cambria Math" w:cs="Times New Roman"/>
                      <w:sz w:val="24"/>
                      <w:szCs w:val="24"/>
                      <w:lang w:eastAsia="zh-CN"/>
                    </w:rPr>
                    <m:t>k</m:t>
                  </m:r>
                </m:sub>
              </m:sSub>
            </m:sup>
            <m:e>
              <m:sSubSup>
                <m:sSubSupPr>
                  <m:ctrlPr>
                    <w:rPr>
                      <w:rFonts w:ascii="Cambria Math" w:eastAsia="宋体" w:hAnsi="Cambria Math" w:cs="Times New Roman"/>
                      <w:i/>
                      <w:sz w:val="24"/>
                      <w:szCs w:val="24"/>
                      <w:lang w:eastAsia="zh-CN"/>
                    </w:rPr>
                  </m:ctrlPr>
                </m:sSubSupPr>
                <m:e>
                  <m:r>
                    <w:rPr>
                      <w:rFonts w:ascii="Cambria Math" w:eastAsia="等线" w:hAnsi="Cambria Math" w:cs="Times New Roman"/>
                      <w:sz w:val="24"/>
                      <w:szCs w:val="24"/>
                      <w:lang w:eastAsia="zh-CN"/>
                    </w:rPr>
                    <m:t>w</m:t>
                  </m:r>
                </m:e>
                <m:sub>
                  <m:r>
                    <w:rPr>
                      <w:rFonts w:ascii="Cambria Math" w:eastAsia="等线" w:hAnsi="Cambria Math" w:cs="Times New Roman"/>
                      <w:sz w:val="24"/>
                      <w:szCs w:val="24"/>
                      <w:lang w:eastAsia="zh-CN"/>
                    </w:rPr>
                    <m:t>j</m:t>
                  </m:r>
                </m:sub>
                <m:sup>
                  <m:r>
                    <w:rPr>
                      <w:rFonts w:ascii="Cambria Math" w:eastAsia="等线" w:hAnsi="Cambria Math" w:cs="Times New Roman"/>
                      <w:sz w:val="24"/>
                      <w:szCs w:val="24"/>
                      <w:lang w:eastAsia="zh-CN"/>
                    </w:rPr>
                    <m:t>2</m:t>
                  </m:r>
                </m:sup>
              </m:sSubSup>
            </m:e>
          </m:nary>
          <m:r>
            <w:rPr>
              <w:rFonts w:ascii="Cambria Math" w:eastAsia="宋体" w:hAnsi="Cambria Math" w:cs="Times New Roman"/>
              <w:sz w:val="24"/>
              <w:szCs w:val="24"/>
              <w:lang w:eastAsia="zh-CN"/>
            </w:rPr>
            <m:t xml:space="preserve">                                                                                   (3)</m:t>
          </m:r>
        </m:oMath>
      </m:oMathPara>
    </w:p>
    <w:p w14:paraId="229408B2" w14:textId="6389103D" w:rsidR="00513C93" w:rsidRPr="00721AE3" w:rsidRDefault="00D063FB" w:rsidP="00681A70">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Where</w:t>
      </w:r>
      <w:r w:rsidR="005E599C" w:rsidRPr="00721AE3">
        <w:rPr>
          <w:rFonts w:ascii="Times New Roman" w:hAnsi="Times New Roman" w:cs="Times New Roman"/>
          <w:sz w:val="24"/>
          <w:szCs w:val="24"/>
        </w:rPr>
        <w:t xml:space="preserve"> </w:t>
      </w:r>
      <m:oMath>
        <m:sSub>
          <m:sSubPr>
            <m:ctrlPr>
              <w:rPr>
                <w:rFonts w:ascii="Cambria Math" w:eastAsia="宋体" w:hAnsi="Cambria Math" w:cs="Times New Roman"/>
                <w:i/>
                <w:sz w:val="24"/>
                <w:szCs w:val="24"/>
                <w:lang w:eastAsia="zh-CN"/>
              </w:rPr>
            </m:ctrlPr>
          </m:sSubPr>
          <m:e>
            <m:r>
              <w:rPr>
                <w:rFonts w:ascii="Cambria Math" w:eastAsia="等线" w:hAnsi="Cambria Math" w:cs="Times New Roman"/>
                <w:sz w:val="24"/>
                <w:szCs w:val="24"/>
                <w:lang w:eastAsia="zh-CN"/>
              </w:rPr>
              <m:t>T</m:t>
            </m:r>
          </m:e>
          <m:sub>
            <m:r>
              <w:rPr>
                <w:rFonts w:ascii="Cambria Math" w:eastAsia="等线" w:hAnsi="Cambria Math" w:cs="Times New Roman"/>
                <w:sz w:val="24"/>
                <w:szCs w:val="24"/>
                <w:lang w:eastAsia="zh-CN"/>
              </w:rPr>
              <m:t>k</m:t>
            </m:r>
          </m:sub>
        </m:sSub>
      </m:oMath>
      <w:r w:rsidR="005E599C"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represents </w:t>
      </w:r>
      <w:r w:rsidR="005E599C" w:rsidRPr="00721AE3">
        <w:rPr>
          <w:rFonts w:ascii="Times New Roman" w:hAnsi="Times New Roman" w:cs="Times New Roman"/>
          <w:sz w:val="24"/>
          <w:szCs w:val="24"/>
        </w:rPr>
        <w:t>the number of leaves in the</w:t>
      </w:r>
      <w:r w:rsidR="009B68FE" w:rsidRPr="00721AE3">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th</m:t>
            </m:r>
          </m:sup>
        </m:sSup>
      </m:oMath>
      <w:r w:rsidR="005E599C" w:rsidRPr="00721AE3">
        <w:rPr>
          <w:rFonts w:ascii="Times New Roman" w:hAnsi="Times New Roman" w:cs="Times New Roman"/>
          <w:sz w:val="24"/>
          <w:szCs w:val="24"/>
        </w:rPr>
        <w:t xml:space="preserve"> tree, </w:t>
      </w:r>
      <m:oMath>
        <m:sSub>
          <m:sSubPr>
            <m:ctrlPr>
              <w:rPr>
                <w:rFonts w:ascii="Cambria Math" w:eastAsia="宋体" w:hAnsi="Cambria Math" w:cs="Times New Roman"/>
                <w:i/>
                <w:sz w:val="24"/>
                <w:szCs w:val="24"/>
                <w:lang w:eastAsia="zh-CN"/>
              </w:rPr>
            </m:ctrlPr>
          </m:sSubPr>
          <m:e>
            <m:r>
              <w:rPr>
                <w:rFonts w:ascii="Cambria Math" w:eastAsia="等线" w:hAnsi="Cambria Math" w:cs="Times New Roman"/>
                <w:sz w:val="24"/>
                <w:szCs w:val="24"/>
                <w:lang w:eastAsia="zh-CN"/>
              </w:rPr>
              <m:t>w</m:t>
            </m:r>
          </m:e>
          <m:sub>
            <m:r>
              <w:rPr>
                <w:rFonts w:ascii="Cambria Math" w:eastAsia="等线" w:hAnsi="Cambria Math" w:cs="Times New Roman"/>
                <w:sz w:val="24"/>
                <w:szCs w:val="24"/>
                <w:lang w:eastAsia="zh-CN"/>
              </w:rPr>
              <m:t>j</m:t>
            </m:r>
          </m:sub>
        </m:sSub>
      </m:oMath>
      <w:r w:rsidR="004D72A2" w:rsidRPr="00721AE3">
        <w:rPr>
          <w:rFonts w:ascii="Times New Roman" w:hAnsi="Times New Roman" w:cs="Times New Roman"/>
          <w:sz w:val="24"/>
          <w:szCs w:val="24"/>
          <w:lang w:eastAsia="zh-CN"/>
        </w:rPr>
        <w:t xml:space="preserve"> </w:t>
      </w:r>
      <w:r w:rsidR="005E599C" w:rsidRPr="00721AE3">
        <w:rPr>
          <w:rFonts w:ascii="Times New Roman" w:hAnsi="Times New Roman" w:cs="Times New Roman"/>
          <w:sz w:val="24"/>
          <w:szCs w:val="24"/>
        </w:rPr>
        <w:t>is the</w:t>
      </w:r>
      <w:r w:rsidR="00E242C0" w:rsidRPr="00721AE3">
        <w:rPr>
          <w:rFonts w:ascii="Times New Roman" w:hAnsi="Times New Roman" w:cs="Times New Roman"/>
          <w:sz w:val="24"/>
          <w:szCs w:val="24"/>
        </w:rPr>
        <w:t xml:space="preserve"> weight assigned to leaf </w:t>
      </w:r>
      <m:oMath>
        <m:r>
          <w:rPr>
            <w:rFonts w:ascii="Cambria Math" w:hAnsi="Cambria Math" w:cs="Times New Roman"/>
            <w:sz w:val="24"/>
            <w:szCs w:val="24"/>
          </w:rPr>
          <m:t>j</m:t>
        </m:r>
      </m:oMath>
      <w:r w:rsidR="005E599C" w:rsidRPr="00721AE3">
        <w:rPr>
          <w:rFonts w:ascii="Times New Roman" w:hAnsi="Times New Roman" w:cs="Times New Roman"/>
          <w:sz w:val="24"/>
          <w:szCs w:val="24"/>
        </w:rPr>
        <w:t xml:space="preserve">, </w:t>
      </w:r>
      <m:oMath>
        <m:r>
          <w:rPr>
            <w:rFonts w:ascii="Cambria Math" w:eastAsia="等线" w:hAnsi="Cambria Math" w:cs="Times New Roman"/>
            <w:sz w:val="24"/>
            <w:szCs w:val="24"/>
            <w:lang w:eastAsia="zh-CN"/>
          </w:rPr>
          <m:t>γ</m:t>
        </m:r>
      </m:oMath>
      <w:r w:rsidR="005E599C" w:rsidRPr="00721AE3">
        <w:rPr>
          <w:rFonts w:ascii="Times New Roman" w:hAnsi="Times New Roman" w:cs="Times New Roman"/>
          <w:sz w:val="24"/>
          <w:szCs w:val="24"/>
        </w:rPr>
        <w:t xml:space="preserve"> controls the penalty on the number of leaves</w:t>
      </w:r>
      <w:r w:rsidR="00E242C0" w:rsidRPr="00721AE3">
        <w:rPr>
          <w:rFonts w:ascii="Times New Roman" w:hAnsi="Times New Roman" w:cs="Times New Roman"/>
          <w:sz w:val="24"/>
          <w:szCs w:val="24"/>
        </w:rPr>
        <w:t xml:space="preserve"> (</w:t>
      </w:r>
      <w:r w:rsidR="00FB4142" w:rsidRPr="00721AE3">
        <w:rPr>
          <w:rFonts w:ascii="Times New Roman" w:hAnsi="Times New Roman" w:cs="Times New Roman"/>
          <w:sz w:val="24"/>
          <w:szCs w:val="24"/>
        </w:rPr>
        <w:t>complexity control</w:t>
      </w:r>
      <w:r w:rsidR="00E242C0" w:rsidRPr="00721AE3">
        <w:rPr>
          <w:rFonts w:ascii="Times New Roman" w:hAnsi="Times New Roman" w:cs="Times New Roman"/>
          <w:sz w:val="24"/>
          <w:szCs w:val="24"/>
        </w:rPr>
        <w:t>)</w:t>
      </w:r>
      <w:r w:rsidR="005E599C" w:rsidRPr="00721AE3">
        <w:rPr>
          <w:rFonts w:ascii="Times New Roman" w:hAnsi="Times New Roman" w:cs="Times New Roman"/>
          <w:sz w:val="24"/>
          <w:szCs w:val="24"/>
        </w:rPr>
        <w:t xml:space="preserve">, and </w:t>
      </w:r>
      <m:oMath>
        <m:r>
          <w:rPr>
            <w:rFonts w:ascii="Cambria Math" w:eastAsia="等线" w:hAnsi="Cambria Math" w:cs="Times New Roman"/>
            <w:sz w:val="24"/>
            <w:szCs w:val="24"/>
            <w:lang w:eastAsia="zh-CN"/>
          </w:rPr>
          <m:t>λ</m:t>
        </m:r>
      </m:oMath>
      <w:r w:rsidR="005E599C" w:rsidRPr="00721AE3">
        <w:rPr>
          <w:rFonts w:ascii="Times New Roman" w:hAnsi="Times New Roman" w:cs="Times New Roman"/>
          <w:sz w:val="24"/>
          <w:szCs w:val="24"/>
        </w:rPr>
        <w:t xml:space="preserve"> is the L2 regularization parameter on the leaf weights.</w:t>
      </w:r>
      <w:r w:rsidR="00E60E7B" w:rsidRPr="00721AE3">
        <w:rPr>
          <w:rFonts w:ascii="Times New Roman" w:hAnsi="Times New Roman" w:cs="Times New Roman"/>
          <w:sz w:val="24"/>
          <w:szCs w:val="24"/>
        </w:rPr>
        <w:t xml:space="preserve"> </w:t>
      </w:r>
      <w:r w:rsidR="004542F2" w:rsidRPr="00721AE3">
        <w:rPr>
          <w:rFonts w:ascii="Times New Roman" w:hAnsi="Times New Roman" w:cs="Times New Roman"/>
          <w:sz w:val="24"/>
          <w:szCs w:val="24"/>
        </w:rPr>
        <w:t xml:space="preserve">Optimization is achieved </w:t>
      </w:r>
      <w:r w:rsidR="00E60E7B" w:rsidRPr="00721AE3">
        <w:rPr>
          <w:rFonts w:ascii="Times New Roman" w:hAnsi="Times New Roman" w:cs="Times New Roman"/>
          <w:sz w:val="24"/>
          <w:szCs w:val="24"/>
        </w:rPr>
        <w:t xml:space="preserve">through </w:t>
      </w:r>
      <w:r w:rsidR="004542F2" w:rsidRPr="00721AE3">
        <w:rPr>
          <w:rFonts w:ascii="Times New Roman" w:hAnsi="Times New Roman" w:cs="Times New Roman"/>
          <w:sz w:val="24"/>
          <w:szCs w:val="24"/>
        </w:rPr>
        <w:t xml:space="preserve">a second-order Taylor expansion of the loss function, enabling the algorithm to </w:t>
      </w:r>
      <w:r w:rsidR="00E60E7B" w:rsidRPr="00721AE3">
        <w:rPr>
          <w:rFonts w:ascii="Times New Roman" w:hAnsi="Times New Roman" w:cs="Times New Roman"/>
          <w:sz w:val="24"/>
          <w:szCs w:val="24"/>
        </w:rPr>
        <w:t>utilize</w:t>
      </w:r>
      <w:r w:rsidR="004542F2" w:rsidRPr="00721AE3">
        <w:rPr>
          <w:rFonts w:ascii="Times New Roman" w:hAnsi="Times New Roman" w:cs="Times New Roman"/>
          <w:sz w:val="24"/>
          <w:szCs w:val="24"/>
        </w:rPr>
        <w:t xml:space="preserve"> both gradient and curvature information for efficient and stable learning (Chen &amp; Guestrin, 2016).</w:t>
      </w:r>
    </w:p>
    <w:p w14:paraId="0D5E40BD" w14:textId="3948AA44" w:rsidR="002E6CDE" w:rsidRPr="00721AE3" w:rsidRDefault="00A95D24" w:rsidP="00681A70">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The use of XGBoost is particularly appropriate for this study’s objective. The influence of amenities on housing prices is inherently distance-dependent and non-linear, often exhibiting threshold effects, diminishing marginal contributions, and localized disamenities. Tree-based ensemble models are capable of capturing such patterns by partitioning the feature space into regions with distinct marginal effects, allowing the model to identify how the contribution of each amenity varies continuously with distance. This capability is essential for uncovering the true shape of distance decay effects, which cannot be adequately represented using predefined functional forms or distance bands</w:t>
      </w:r>
      <w:r w:rsidR="00150771" w:rsidRPr="00721AE3">
        <w:rPr>
          <w:rFonts w:ascii="Times New Roman" w:hAnsi="Times New Roman" w:cs="Times New Roman"/>
          <w:sz w:val="24"/>
          <w:szCs w:val="24"/>
        </w:rPr>
        <w:t xml:space="preserve"> (</w:t>
      </w:r>
      <w:r w:rsidR="002E3AE2" w:rsidRPr="00721AE3">
        <w:rPr>
          <w:rFonts w:ascii="Times New Roman" w:hAnsi="Times New Roman" w:cs="Times New Roman"/>
          <w:sz w:val="24"/>
          <w:szCs w:val="24"/>
        </w:rPr>
        <w:t xml:space="preserve">Chen &amp; Guestrin, 2016; </w:t>
      </w:r>
      <w:r w:rsidR="00150771" w:rsidRPr="00721AE3">
        <w:rPr>
          <w:rFonts w:ascii="Times New Roman" w:hAnsi="Times New Roman" w:cs="Times New Roman"/>
          <w:sz w:val="24"/>
          <w:szCs w:val="24"/>
        </w:rPr>
        <w:t>Dou et al., 2023</w:t>
      </w:r>
      <w:r w:rsidR="00DA5C76" w:rsidRPr="00721AE3">
        <w:rPr>
          <w:rFonts w:ascii="Times New Roman" w:hAnsi="Times New Roman" w:cs="Times New Roman"/>
          <w:sz w:val="24"/>
          <w:szCs w:val="24"/>
        </w:rPr>
        <w:t>; Lee et al., 202</w:t>
      </w:r>
      <w:r w:rsidR="00EC5212" w:rsidRPr="00721AE3">
        <w:rPr>
          <w:rFonts w:ascii="Times New Roman" w:hAnsi="Times New Roman" w:cs="Times New Roman"/>
          <w:sz w:val="24"/>
          <w:szCs w:val="24"/>
        </w:rPr>
        <w:t>5</w:t>
      </w:r>
      <w:r w:rsidR="00150771" w:rsidRPr="00721AE3">
        <w:rPr>
          <w:rFonts w:ascii="Times New Roman" w:hAnsi="Times New Roman" w:cs="Times New Roman"/>
          <w:sz w:val="24"/>
          <w:szCs w:val="24"/>
        </w:rPr>
        <w:t>)</w:t>
      </w:r>
      <w:r w:rsidRPr="00721AE3">
        <w:rPr>
          <w:rFonts w:ascii="Times New Roman" w:hAnsi="Times New Roman" w:cs="Times New Roman"/>
          <w:sz w:val="24"/>
          <w:szCs w:val="24"/>
        </w:rPr>
        <w:t>.</w:t>
      </w:r>
    </w:p>
    <w:p w14:paraId="683178FA" w14:textId="1F34F0D7" w:rsidR="00A0208E" w:rsidRPr="00721AE3" w:rsidRDefault="005D2FC1" w:rsidP="00681A70">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Model performance is assessed using a set of evaluation metrics, </w:t>
      </w:r>
      <w:r w:rsidR="00811D16" w:rsidRPr="00721AE3">
        <w:rPr>
          <w:rFonts w:ascii="Times New Roman" w:hAnsi="Times New Roman" w:cs="Times New Roman"/>
          <w:sz w:val="24"/>
          <w:szCs w:val="24"/>
        </w:rPr>
        <w:t>including the coefficient of determination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sidR="00811D16" w:rsidRPr="00721AE3">
        <w:rPr>
          <w:rFonts w:ascii="Times New Roman" w:hAnsi="Times New Roman" w:cs="Times New Roman"/>
          <w:sz w:val="24"/>
          <w:szCs w:val="24"/>
        </w:rPr>
        <w:t xml:space="preserve">), mean absolute percentage error (MAPE), </w:t>
      </w:r>
      <w:r w:rsidR="00321A17" w:rsidRPr="00721AE3">
        <w:rPr>
          <w:rFonts w:ascii="Times New Roman" w:hAnsi="Times New Roman" w:cs="Times New Roman"/>
          <w:sz w:val="24"/>
          <w:szCs w:val="24"/>
        </w:rPr>
        <w:t xml:space="preserve">root mean squared error (RMSE), </w:t>
      </w:r>
      <w:r w:rsidR="00811D16" w:rsidRPr="00721AE3">
        <w:rPr>
          <w:rFonts w:ascii="Times New Roman" w:hAnsi="Times New Roman" w:cs="Times New Roman"/>
          <w:sz w:val="24"/>
          <w:szCs w:val="24"/>
        </w:rPr>
        <w:t xml:space="preserve">and the percentage of predictions within specified error thresholds (PPE). As reported in Table 2, the </w:t>
      </w:r>
      <w:r w:rsidR="001B4AAA" w:rsidRPr="00721AE3">
        <w:rPr>
          <w:rFonts w:ascii="Times New Roman" w:hAnsi="Times New Roman" w:cs="Times New Roman"/>
          <w:sz w:val="24"/>
          <w:szCs w:val="24"/>
        </w:rPr>
        <w:t>XGB</w:t>
      </w:r>
      <w:r w:rsidR="00C7233F" w:rsidRPr="00721AE3">
        <w:rPr>
          <w:rFonts w:ascii="Times New Roman" w:hAnsi="Times New Roman" w:cs="Times New Roman"/>
          <w:sz w:val="24"/>
          <w:szCs w:val="24"/>
        </w:rPr>
        <w:t xml:space="preserve">oost </w:t>
      </w:r>
      <w:r w:rsidR="00811D16" w:rsidRPr="00721AE3">
        <w:rPr>
          <w:rFonts w:ascii="Times New Roman" w:hAnsi="Times New Roman" w:cs="Times New Roman"/>
          <w:sz w:val="24"/>
          <w:szCs w:val="24"/>
        </w:rPr>
        <w:t xml:space="preserve">model achieves strong predictive performance, </w:t>
      </w:r>
      <w:r w:rsidR="00524678" w:rsidRPr="00721AE3">
        <w:rPr>
          <w:rFonts w:ascii="Times New Roman" w:hAnsi="Times New Roman" w:cs="Times New Roman"/>
          <w:sz w:val="24"/>
          <w:szCs w:val="24"/>
        </w:rPr>
        <w:t xml:space="preserve">achieving </w:t>
      </w:r>
      <w:r w:rsidR="00385EA7" w:rsidRPr="00721AE3">
        <w:rPr>
          <w:rFonts w:ascii="Times New Roman" w:hAnsi="Times New Roman" w:cs="Times New Roman"/>
          <w:sz w:val="24"/>
          <w:szCs w:val="24"/>
        </w:rPr>
        <w:t xml:space="preserve">an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sidR="00811D16" w:rsidRPr="00721AE3">
        <w:rPr>
          <w:rFonts w:ascii="Times New Roman" w:hAnsi="Times New Roman" w:cs="Times New Roman"/>
          <w:sz w:val="24"/>
          <w:szCs w:val="24"/>
        </w:rPr>
        <w:t xml:space="preserve"> of </w:t>
      </w:r>
      <w:r w:rsidR="00C02793" w:rsidRPr="00721AE3">
        <w:rPr>
          <w:rFonts w:ascii="Times New Roman" w:hAnsi="Times New Roman" w:cs="Times New Roman"/>
          <w:sz w:val="24"/>
          <w:szCs w:val="24"/>
        </w:rPr>
        <w:t>0.77</w:t>
      </w:r>
      <w:r w:rsidR="001A2FBF" w:rsidRPr="00721AE3">
        <w:rPr>
          <w:rFonts w:ascii="Times New Roman" w:hAnsi="Times New Roman" w:cs="Times New Roman"/>
          <w:sz w:val="24"/>
          <w:szCs w:val="24"/>
        </w:rPr>
        <w:t>0</w:t>
      </w:r>
      <w:r w:rsidR="00811D16" w:rsidRPr="00721AE3">
        <w:rPr>
          <w:rFonts w:ascii="Times New Roman" w:hAnsi="Times New Roman" w:cs="Times New Roman"/>
          <w:sz w:val="24"/>
          <w:szCs w:val="24"/>
        </w:rPr>
        <w:t xml:space="preserve"> </w:t>
      </w:r>
      <w:r w:rsidR="008812E7" w:rsidRPr="00721AE3">
        <w:rPr>
          <w:rFonts w:ascii="Times New Roman" w:hAnsi="Times New Roman" w:cs="Times New Roman"/>
          <w:sz w:val="24"/>
          <w:szCs w:val="24"/>
        </w:rPr>
        <w:t>on</w:t>
      </w:r>
      <w:r w:rsidR="00811D16" w:rsidRPr="00721AE3">
        <w:rPr>
          <w:rFonts w:ascii="Times New Roman" w:hAnsi="Times New Roman" w:cs="Times New Roman"/>
          <w:sz w:val="24"/>
          <w:szCs w:val="24"/>
        </w:rPr>
        <w:t xml:space="preserve"> the training set and </w:t>
      </w:r>
      <w:r w:rsidR="00C02793" w:rsidRPr="00721AE3">
        <w:rPr>
          <w:rFonts w:ascii="Times New Roman" w:hAnsi="Times New Roman" w:cs="Times New Roman"/>
          <w:sz w:val="24"/>
          <w:szCs w:val="24"/>
        </w:rPr>
        <w:t>0.74</w:t>
      </w:r>
      <w:r w:rsidR="001A2FBF" w:rsidRPr="00721AE3">
        <w:rPr>
          <w:rFonts w:ascii="Times New Roman" w:hAnsi="Times New Roman" w:cs="Times New Roman"/>
          <w:sz w:val="24"/>
          <w:szCs w:val="24"/>
        </w:rPr>
        <w:t>6</w:t>
      </w:r>
      <w:r w:rsidR="00811D16" w:rsidRPr="00721AE3">
        <w:rPr>
          <w:rFonts w:ascii="Times New Roman" w:hAnsi="Times New Roman" w:cs="Times New Roman"/>
          <w:sz w:val="24"/>
          <w:szCs w:val="24"/>
        </w:rPr>
        <w:t xml:space="preserve"> </w:t>
      </w:r>
      <w:r w:rsidR="008812E7" w:rsidRPr="00721AE3">
        <w:rPr>
          <w:rFonts w:ascii="Times New Roman" w:hAnsi="Times New Roman" w:cs="Times New Roman"/>
          <w:sz w:val="24"/>
          <w:szCs w:val="24"/>
        </w:rPr>
        <w:t>on</w:t>
      </w:r>
      <w:r w:rsidR="00811D16" w:rsidRPr="00721AE3">
        <w:rPr>
          <w:rFonts w:ascii="Times New Roman" w:hAnsi="Times New Roman" w:cs="Times New Roman"/>
          <w:sz w:val="24"/>
          <w:szCs w:val="24"/>
        </w:rPr>
        <w:t xml:space="preserve"> the test set. The relatively small generalization gap (0.</w:t>
      </w:r>
      <w:r w:rsidR="003B1301" w:rsidRPr="00721AE3">
        <w:rPr>
          <w:rFonts w:ascii="Times New Roman" w:hAnsi="Times New Roman" w:cs="Times New Roman"/>
          <w:sz w:val="24"/>
          <w:szCs w:val="24"/>
        </w:rPr>
        <w:t>024</w:t>
      </w:r>
      <w:r w:rsidR="00811D16" w:rsidRPr="00721AE3">
        <w:rPr>
          <w:rFonts w:ascii="Times New Roman" w:hAnsi="Times New Roman" w:cs="Times New Roman"/>
          <w:sz w:val="24"/>
          <w:szCs w:val="24"/>
        </w:rPr>
        <w:t xml:space="preserve">) indicates </w:t>
      </w:r>
      <w:r w:rsidR="00B90F97" w:rsidRPr="00721AE3">
        <w:rPr>
          <w:rFonts w:ascii="Times New Roman" w:hAnsi="Times New Roman" w:cs="Times New Roman"/>
          <w:sz w:val="24"/>
          <w:szCs w:val="24"/>
        </w:rPr>
        <w:t>good out-of-sample performance, suggesting limited overfitting and strong predictive stability</w:t>
      </w:r>
      <w:r w:rsidR="0092359F" w:rsidRPr="00721AE3">
        <w:rPr>
          <w:rFonts w:ascii="Times New Roman" w:hAnsi="Times New Roman" w:cs="Times New Roman"/>
          <w:sz w:val="24"/>
          <w:szCs w:val="24"/>
        </w:rPr>
        <w:t xml:space="preserve">. </w:t>
      </w:r>
      <w:r w:rsidR="005F49E9" w:rsidRPr="00721AE3">
        <w:rPr>
          <w:rFonts w:ascii="Times New Roman" w:hAnsi="Times New Roman" w:cs="Times New Roman"/>
          <w:sz w:val="24"/>
          <w:szCs w:val="24"/>
        </w:rPr>
        <w:t>These performance metrics are used solely to evaluate predictive accuracy and model generalization and should not be interpreted as evidence of causal relationships between urban amenities and housing prices. Rather, the predictive model serves as the foundation for the subsequent SHAP and ALE analyses, which are used to interpret non-linear associations and distance</w:t>
      </w:r>
      <w:r w:rsidR="0002089C" w:rsidRPr="00721AE3">
        <w:rPr>
          <w:rFonts w:ascii="Times New Roman" w:hAnsi="Times New Roman" w:cs="Times New Roman"/>
          <w:sz w:val="24"/>
          <w:szCs w:val="24"/>
        </w:rPr>
        <w:t xml:space="preserve"> </w:t>
      </w:r>
      <w:r w:rsidR="005F49E9" w:rsidRPr="00721AE3">
        <w:rPr>
          <w:rFonts w:ascii="Times New Roman" w:hAnsi="Times New Roman" w:cs="Times New Roman"/>
          <w:sz w:val="24"/>
          <w:szCs w:val="24"/>
        </w:rPr>
        <w:t>decay patterns</w:t>
      </w:r>
      <w:r w:rsidR="00811D16" w:rsidRPr="00721AE3">
        <w:rPr>
          <w:rFonts w:ascii="Times New Roman" w:hAnsi="Times New Roman" w:cs="Times New Roman"/>
          <w:sz w:val="24"/>
          <w:szCs w:val="24"/>
        </w:rPr>
        <w:t>.</w:t>
      </w:r>
      <w:r w:rsidR="00CE2400" w:rsidRPr="00721AE3">
        <w:rPr>
          <w:rFonts w:ascii="Times New Roman" w:hAnsi="Times New Roman" w:cs="Times New Roman"/>
          <w:sz w:val="24"/>
          <w:szCs w:val="24"/>
        </w:rPr>
        <w:t xml:space="preserve"> </w:t>
      </w:r>
      <w:r w:rsidR="00AF5BBF" w:rsidRPr="00721AE3">
        <w:rPr>
          <w:rFonts w:ascii="Times New Roman" w:hAnsi="Times New Roman" w:cs="Times New Roman"/>
          <w:sz w:val="24"/>
          <w:szCs w:val="24"/>
        </w:rPr>
        <w:t xml:space="preserve">In terms of predictive accuracy, the model records a MAPE of </w:t>
      </w:r>
      <w:r w:rsidR="0025424A" w:rsidRPr="00721AE3">
        <w:rPr>
          <w:rFonts w:ascii="Times New Roman" w:hAnsi="Times New Roman" w:cs="Times New Roman"/>
          <w:sz w:val="24"/>
          <w:szCs w:val="24"/>
        </w:rPr>
        <w:t>22.</w:t>
      </w:r>
      <w:r w:rsidR="00E51F1A" w:rsidRPr="00721AE3">
        <w:rPr>
          <w:rFonts w:ascii="Times New Roman" w:hAnsi="Times New Roman" w:cs="Times New Roman"/>
          <w:sz w:val="24"/>
          <w:szCs w:val="24"/>
        </w:rPr>
        <w:t>25</w:t>
      </w:r>
      <w:r w:rsidR="00AF5BBF" w:rsidRPr="00721AE3">
        <w:rPr>
          <w:rFonts w:ascii="Times New Roman" w:hAnsi="Times New Roman" w:cs="Times New Roman"/>
          <w:sz w:val="24"/>
          <w:szCs w:val="24"/>
        </w:rPr>
        <w:t xml:space="preserve">% for the training set and </w:t>
      </w:r>
      <w:r w:rsidR="0025424A" w:rsidRPr="00721AE3">
        <w:rPr>
          <w:rFonts w:ascii="Times New Roman" w:hAnsi="Times New Roman" w:cs="Times New Roman"/>
          <w:sz w:val="24"/>
          <w:szCs w:val="24"/>
        </w:rPr>
        <w:t>23.</w:t>
      </w:r>
      <w:r w:rsidR="00E51F1A" w:rsidRPr="00721AE3">
        <w:rPr>
          <w:rFonts w:ascii="Times New Roman" w:hAnsi="Times New Roman" w:cs="Times New Roman"/>
          <w:sz w:val="24"/>
          <w:szCs w:val="24"/>
        </w:rPr>
        <w:t>81</w:t>
      </w:r>
      <w:r w:rsidR="00AF5BBF" w:rsidRPr="00721AE3">
        <w:rPr>
          <w:rFonts w:ascii="Times New Roman" w:hAnsi="Times New Roman" w:cs="Times New Roman"/>
          <w:sz w:val="24"/>
          <w:szCs w:val="24"/>
        </w:rPr>
        <w:t xml:space="preserve">% for the test set. Furthermore, the PPE results show that </w:t>
      </w:r>
      <w:r w:rsidR="00715882" w:rsidRPr="00721AE3">
        <w:rPr>
          <w:rFonts w:ascii="Times New Roman" w:hAnsi="Times New Roman" w:cs="Times New Roman"/>
          <w:sz w:val="24"/>
          <w:szCs w:val="24"/>
        </w:rPr>
        <w:t>71.</w:t>
      </w:r>
      <w:r w:rsidR="00E51F1A" w:rsidRPr="00721AE3">
        <w:rPr>
          <w:rFonts w:ascii="Times New Roman" w:hAnsi="Times New Roman" w:cs="Times New Roman"/>
          <w:sz w:val="24"/>
          <w:szCs w:val="24"/>
        </w:rPr>
        <w:t>57</w:t>
      </w:r>
      <w:r w:rsidR="00AF5BBF" w:rsidRPr="00721AE3">
        <w:rPr>
          <w:rFonts w:ascii="Times New Roman" w:hAnsi="Times New Roman" w:cs="Times New Roman"/>
          <w:sz w:val="24"/>
          <w:szCs w:val="24"/>
        </w:rPr>
        <w:t>% of test observations fall within a 20% prediction error margin, indicating a high level of reliability in capturing price variation across a heterogeneous urban environment.</w:t>
      </w:r>
    </w:p>
    <w:p w14:paraId="6577E7DE" w14:textId="77777777" w:rsidR="004A10F7" w:rsidRPr="00721AE3" w:rsidRDefault="004A10F7" w:rsidP="00CE2308">
      <w:pPr>
        <w:spacing w:after="0" w:line="360" w:lineRule="auto"/>
        <w:rPr>
          <w:rFonts w:ascii="Times New Roman" w:hAnsi="Times New Roman" w:cs="Times New Roman"/>
          <w:sz w:val="24"/>
          <w:szCs w:val="24"/>
        </w:rPr>
      </w:pPr>
    </w:p>
    <w:p w14:paraId="50E1F684" w14:textId="37EBA078" w:rsidR="00A07491" w:rsidRPr="00721AE3" w:rsidRDefault="00A07491" w:rsidP="00CE2308">
      <w:pPr>
        <w:spacing w:after="0" w:line="360" w:lineRule="auto"/>
        <w:rPr>
          <w:rFonts w:ascii="Times New Roman" w:hAnsi="Times New Roman" w:cs="Times New Roman"/>
        </w:rPr>
      </w:pPr>
      <w:r w:rsidRPr="00721AE3">
        <w:rPr>
          <w:rFonts w:ascii="Times New Roman" w:hAnsi="Times New Roman" w:cs="Times New Roman"/>
        </w:rPr>
        <w:lastRenderedPageBreak/>
        <w:t>Table 2: XGBoost model performance evaluation</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29"/>
        <w:gridCol w:w="1055"/>
        <w:gridCol w:w="1663"/>
        <w:gridCol w:w="735"/>
        <w:gridCol w:w="992"/>
        <w:gridCol w:w="711"/>
      </w:tblGrid>
      <w:tr w:rsidR="00721AE3" w:rsidRPr="00721AE3" w14:paraId="394C0679" w14:textId="0D0281FB" w:rsidTr="00C85768">
        <w:trPr>
          <w:trHeight w:val="265"/>
        </w:trPr>
        <w:tc>
          <w:tcPr>
            <w:tcW w:w="1560" w:type="dxa"/>
            <w:vMerge w:val="restart"/>
            <w:tcBorders>
              <w:top w:val="single" w:sz="4" w:space="0" w:color="auto"/>
            </w:tcBorders>
            <w:vAlign w:val="bottom"/>
          </w:tcPr>
          <w:p w14:paraId="07BB12FA" w14:textId="12EE2689" w:rsidR="00552FAF" w:rsidRPr="00721AE3" w:rsidRDefault="00B138F8" w:rsidP="00CE2308">
            <w:pPr>
              <w:spacing w:line="360" w:lineRule="auto"/>
              <w:jc w:val="center"/>
              <w:rPr>
                <w:rFonts w:ascii="Times New Roman" w:hAnsi="Times New Roman" w:cs="Times New Roman"/>
                <w:b/>
                <w:bCs/>
              </w:rPr>
            </w:pPr>
            <w:r w:rsidRPr="00721AE3">
              <w:rPr>
                <w:rFonts w:ascii="Times New Roman" w:hAnsi="Times New Roman" w:cs="Times New Roman"/>
                <w:b/>
                <w:bCs/>
              </w:rPr>
              <w:t>Set</w:t>
            </w:r>
          </w:p>
        </w:tc>
        <w:tc>
          <w:tcPr>
            <w:tcW w:w="929" w:type="dxa"/>
            <w:vMerge w:val="restart"/>
            <w:tcBorders>
              <w:top w:val="single" w:sz="4" w:space="0" w:color="auto"/>
            </w:tcBorders>
            <w:vAlign w:val="bottom"/>
          </w:tcPr>
          <w:p w14:paraId="2ED3BF50" w14:textId="46E78CCA" w:rsidR="00552FAF" w:rsidRPr="00721AE3" w:rsidRDefault="00000000" w:rsidP="00CE2308">
            <w:pPr>
              <w:spacing w:line="360" w:lineRule="auto"/>
              <w:jc w:val="center"/>
              <w:rPr>
                <w:rFonts w:ascii="Times New Roman" w:hAnsi="Times New Roman" w:cs="Times New Roman"/>
                <w:b/>
                <w:bCs/>
              </w:rPr>
            </w:pPr>
            <m:oMathPara>
              <m:oMath>
                <m:sSup>
                  <m:sSupPr>
                    <m:ctrlPr>
                      <w:rPr>
                        <w:rFonts w:ascii="Cambria Math" w:hAnsi="Cambria Math" w:cs="Times New Roman"/>
                        <w:b/>
                        <w:bCs/>
                        <w:i/>
                      </w:rPr>
                    </m:ctrlPr>
                  </m:sSupPr>
                  <m:e>
                    <m:r>
                      <m:rPr>
                        <m:sty m:val="bi"/>
                      </m:rPr>
                      <w:rPr>
                        <w:rFonts w:ascii="Cambria Math" w:hAnsi="Cambria Math" w:cs="Times New Roman"/>
                      </w:rPr>
                      <m:t>R</m:t>
                    </m:r>
                  </m:e>
                  <m:sup>
                    <m:r>
                      <m:rPr>
                        <m:sty m:val="bi"/>
                      </m:rPr>
                      <w:rPr>
                        <w:rFonts w:ascii="Cambria Math" w:hAnsi="Cambria Math" w:cs="Times New Roman"/>
                      </w:rPr>
                      <m:t>2</m:t>
                    </m:r>
                  </m:sup>
                </m:sSup>
              </m:oMath>
            </m:oMathPara>
          </w:p>
        </w:tc>
        <w:tc>
          <w:tcPr>
            <w:tcW w:w="1055" w:type="dxa"/>
            <w:vMerge w:val="restart"/>
            <w:tcBorders>
              <w:top w:val="single" w:sz="4" w:space="0" w:color="auto"/>
            </w:tcBorders>
            <w:vAlign w:val="bottom"/>
          </w:tcPr>
          <w:p w14:paraId="54385E78" w14:textId="6B85920F" w:rsidR="00552FAF" w:rsidRPr="00721AE3" w:rsidRDefault="00552FAF" w:rsidP="00CE2308">
            <w:pPr>
              <w:spacing w:line="360" w:lineRule="auto"/>
              <w:jc w:val="center"/>
              <w:rPr>
                <w:rFonts w:ascii="Times New Roman" w:hAnsi="Times New Roman" w:cs="Times New Roman"/>
                <w:b/>
                <w:bCs/>
              </w:rPr>
            </w:pPr>
            <w:r w:rsidRPr="00721AE3">
              <w:rPr>
                <w:rFonts w:ascii="Times New Roman" w:hAnsi="Times New Roman" w:cs="Times New Roman"/>
                <w:b/>
                <w:bCs/>
              </w:rPr>
              <w:t>RMSE</w:t>
            </w:r>
          </w:p>
        </w:tc>
        <w:tc>
          <w:tcPr>
            <w:tcW w:w="1663" w:type="dxa"/>
            <w:vMerge w:val="restart"/>
            <w:tcBorders>
              <w:top w:val="single" w:sz="4" w:space="0" w:color="auto"/>
            </w:tcBorders>
            <w:vAlign w:val="bottom"/>
          </w:tcPr>
          <w:p w14:paraId="0C5F2646" w14:textId="4D4F5A3D" w:rsidR="00552FAF" w:rsidRPr="00721AE3" w:rsidRDefault="00552FAF" w:rsidP="00CE2308">
            <w:pPr>
              <w:spacing w:line="360" w:lineRule="auto"/>
              <w:jc w:val="center"/>
              <w:rPr>
                <w:rFonts w:ascii="Times New Roman" w:hAnsi="Times New Roman" w:cs="Times New Roman"/>
                <w:b/>
                <w:bCs/>
              </w:rPr>
            </w:pPr>
            <w:r w:rsidRPr="00721AE3">
              <w:rPr>
                <w:rFonts w:ascii="Times New Roman" w:hAnsi="Times New Roman" w:cs="Times New Roman"/>
                <w:b/>
                <w:bCs/>
              </w:rPr>
              <w:t>MAPE (%)</w:t>
            </w:r>
          </w:p>
        </w:tc>
        <w:tc>
          <w:tcPr>
            <w:tcW w:w="2438" w:type="dxa"/>
            <w:gridSpan w:val="3"/>
            <w:tcBorders>
              <w:top w:val="single" w:sz="4" w:space="0" w:color="auto"/>
            </w:tcBorders>
            <w:vAlign w:val="center"/>
          </w:tcPr>
          <w:p w14:paraId="344121AC" w14:textId="2D8E2B63" w:rsidR="00552FAF" w:rsidRPr="00721AE3" w:rsidRDefault="007E56B7" w:rsidP="00CE2308">
            <w:pPr>
              <w:spacing w:line="360" w:lineRule="auto"/>
              <w:jc w:val="center"/>
              <w:rPr>
                <w:rFonts w:ascii="Times New Roman" w:hAnsi="Times New Roman" w:cs="Times New Roman"/>
                <w:b/>
                <w:bCs/>
              </w:rPr>
            </w:pPr>
            <w:r w:rsidRPr="00721AE3">
              <w:rPr>
                <w:rFonts w:ascii="Times New Roman" w:hAnsi="Times New Roman" w:cs="Times New Roman"/>
                <w:b/>
                <w:bCs/>
              </w:rPr>
              <w:t>PPE</w:t>
            </w:r>
          </w:p>
        </w:tc>
      </w:tr>
      <w:tr w:rsidR="00721AE3" w:rsidRPr="00721AE3" w14:paraId="584EC86D" w14:textId="77777777" w:rsidTr="00C85768">
        <w:trPr>
          <w:trHeight w:val="285"/>
        </w:trPr>
        <w:tc>
          <w:tcPr>
            <w:tcW w:w="1560" w:type="dxa"/>
            <w:vMerge/>
            <w:tcBorders>
              <w:bottom w:val="single" w:sz="4" w:space="0" w:color="auto"/>
            </w:tcBorders>
            <w:vAlign w:val="center"/>
          </w:tcPr>
          <w:p w14:paraId="5EAB47F4" w14:textId="77777777" w:rsidR="00552FAF" w:rsidRPr="00721AE3" w:rsidRDefault="00552FAF" w:rsidP="00CE2308">
            <w:pPr>
              <w:spacing w:line="360" w:lineRule="auto"/>
              <w:jc w:val="center"/>
              <w:rPr>
                <w:rFonts w:ascii="Times New Roman" w:hAnsi="Times New Roman" w:cs="Times New Roman"/>
                <w:b/>
                <w:bCs/>
              </w:rPr>
            </w:pPr>
          </w:p>
        </w:tc>
        <w:tc>
          <w:tcPr>
            <w:tcW w:w="929" w:type="dxa"/>
            <w:vMerge/>
            <w:tcBorders>
              <w:bottom w:val="single" w:sz="4" w:space="0" w:color="auto"/>
            </w:tcBorders>
            <w:vAlign w:val="center"/>
          </w:tcPr>
          <w:p w14:paraId="6BF44AD5" w14:textId="77777777" w:rsidR="00552FAF" w:rsidRPr="00721AE3" w:rsidRDefault="00552FAF" w:rsidP="00CE2308">
            <w:pPr>
              <w:spacing w:line="360" w:lineRule="auto"/>
              <w:jc w:val="center"/>
              <w:rPr>
                <w:rFonts w:ascii="Times New Roman" w:eastAsia="Calibri" w:hAnsi="Times New Roman" w:cs="Times New Roman"/>
                <w:b/>
                <w:bCs/>
              </w:rPr>
            </w:pPr>
          </w:p>
        </w:tc>
        <w:tc>
          <w:tcPr>
            <w:tcW w:w="1055" w:type="dxa"/>
            <w:vMerge/>
            <w:tcBorders>
              <w:bottom w:val="single" w:sz="4" w:space="0" w:color="auto"/>
            </w:tcBorders>
            <w:vAlign w:val="center"/>
          </w:tcPr>
          <w:p w14:paraId="15E7BC80" w14:textId="77777777" w:rsidR="00552FAF" w:rsidRPr="00721AE3" w:rsidRDefault="00552FAF" w:rsidP="00CE2308">
            <w:pPr>
              <w:spacing w:line="360" w:lineRule="auto"/>
              <w:jc w:val="center"/>
              <w:rPr>
                <w:rFonts w:ascii="Times New Roman" w:hAnsi="Times New Roman" w:cs="Times New Roman"/>
                <w:b/>
                <w:bCs/>
              </w:rPr>
            </w:pPr>
          </w:p>
        </w:tc>
        <w:tc>
          <w:tcPr>
            <w:tcW w:w="1663" w:type="dxa"/>
            <w:vMerge/>
            <w:tcBorders>
              <w:bottom w:val="single" w:sz="4" w:space="0" w:color="auto"/>
            </w:tcBorders>
            <w:vAlign w:val="center"/>
          </w:tcPr>
          <w:p w14:paraId="76373C5C" w14:textId="77777777" w:rsidR="00552FAF" w:rsidRPr="00721AE3" w:rsidRDefault="00552FAF" w:rsidP="00CE2308">
            <w:pPr>
              <w:spacing w:line="360" w:lineRule="auto"/>
              <w:jc w:val="center"/>
              <w:rPr>
                <w:rFonts w:ascii="Times New Roman" w:hAnsi="Times New Roman" w:cs="Times New Roman"/>
                <w:b/>
                <w:bCs/>
              </w:rPr>
            </w:pPr>
          </w:p>
        </w:tc>
        <w:tc>
          <w:tcPr>
            <w:tcW w:w="735" w:type="dxa"/>
            <w:tcBorders>
              <w:top w:val="single" w:sz="4" w:space="0" w:color="auto"/>
              <w:bottom w:val="single" w:sz="4" w:space="0" w:color="auto"/>
            </w:tcBorders>
            <w:vAlign w:val="center"/>
          </w:tcPr>
          <w:p w14:paraId="401388A9" w14:textId="28F2C602" w:rsidR="00552FAF" w:rsidRPr="00721AE3" w:rsidRDefault="00552FAF" w:rsidP="00CE2308">
            <w:pPr>
              <w:spacing w:line="360" w:lineRule="auto"/>
              <w:jc w:val="center"/>
              <w:rPr>
                <w:rFonts w:ascii="Times New Roman" w:hAnsi="Times New Roman" w:cs="Times New Roman"/>
                <w:b/>
                <w:bCs/>
              </w:rPr>
            </w:pPr>
            <w:r w:rsidRPr="00721AE3">
              <w:rPr>
                <w:rFonts w:ascii="Times New Roman" w:hAnsi="Times New Roman" w:cs="Times New Roman"/>
                <w:b/>
                <w:bCs/>
              </w:rPr>
              <w:t>5%</w:t>
            </w:r>
          </w:p>
        </w:tc>
        <w:tc>
          <w:tcPr>
            <w:tcW w:w="992" w:type="dxa"/>
            <w:tcBorders>
              <w:top w:val="single" w:sz="4" w:space="0" w:color="auto"/>
              <w:bottom w:val="single" w:sz="4" w:space="0" w:color="auto"/>
            </w:tcBorders>
            <w:vAlign w:val="center"/>
          </w:tcPr>
          <w:p w14:paraId="486EA352" w14:textId="5AD1AD34" w:rsidR="00552FAF" w:rsidRPr="00721AE3" w:rsidRDefault="00552FAF" w:rsidP="00CE2308">
            <w:pPr>
              <w:spacing w:line="360" w:lineRule="auto"/>
              <w:jc w:val="center"/>
              <w:rPr>
                <w:rFonts w:ascii="Times New Roman" w:hAnsi="Times New Roman" w:cs="Times New Roman"/>
                <w:b/>
                <w:bCs/>
              </w:rPr>
            </w:pPr>
            <w:r w:rsidRPr="00721AE3">
              <w:rPr>
                <w:rFonts w:ascii="Times New Roman" w:hAnsi="Times New Roman" w:cs="Times New Roman"/>
                <w:b/>
                <w:bCs/>
              </w:rPr>
              <w:t>10%</w:t>
            </w:r>
          </w:p>
        </w:tc>
        <w:tc>
          <w:tcPr>
            <w:tcW w:w="711" w:type="dxa"/>
            <w:tcBorders>
              <w:top w:val="single" w:sz="4" w:space="0" w:color="auto"/>
              <w:bottom w:val="single" w:sz="4" w:space="0" w:color="auto"/>
            </w:tcBorders>
            <w:vAlign w:val="center"/>
          </w:tcPr>
          <w:p w14:paraId="577C5828" w14:textId="039EC900" w:rsidR="00552FAF" w:rsidRPr="00721AE3" w:rsidRDefault="00AE2634" w:rsidP="00CE2308">
            <w:pPr>
              <w:spacing w:line="360" w:lineRule="auto"/>
              <w:jc w:val="center"/>
              <w:rPr>
                <w:rFonts w:ascii="Times New Roman" w:hAnsi="Times New Roman" w:cs="Times New Roman"/>
                <w:b/>
                <w:bCs/>
              </w:rPr>
            </w:pPr>
            <w:r w:rsidRPr="00721AE3">
              <w:rPr>
                <w:rFonts w:ascii="Times New Roman" w:hAnsi="Times New Roman" w:cs="Times New Roman"/>
                <w:b/>
                <w:bCs/>
              </w:rPr>
              <w:t>20%</w:t>
            </w:r>
          </w:p>
        </w:tc>
      </w:tr>
      <w:tr w:rsidR="00721AE3" w:rsidRPr="00721AE3" w14:paraId="2963BA60" w14:textId="45B80775" w:rsidTr="00C85768">
        <w:trPr>
          <w:trHeight w:val="435"/>
        </w:trPr>
        <w:tc>
          <w:tcPr>
            <w:tcW w:w="1560" w:type="dxa"/>
            <w:tcBorders>
              <w:top w:val="single" w:sz="4" w:space="0" w:color="auto"/>
            </w:tcBorders>
            <w:vAlign w:val="center"/>
          </w:tcPr>
          <w:p w14:paraId="34A12EE4" w14:textId="3D10C388" w:rsidR="00552FAF" w:rsidRPr="00721AE3" w:rsidRDefault="00552FAF" w:rsidP="00CE2308">
            <w:pPr>
              <w:spacing w:before="240" w:line="360" w:lineRule="auto"/>
              <w:jc w:val="center"/>
              <w:rPr>
                <w:rFonts w:ascii="Times New Roman" w:hAnsi="Times New Roman" w:cs="Times New Roman"/>
              </w:rPr>
            </w:pPr>
            <w:r w:rsidRPr="00721AE3">
              <w:rPr>
                <w:rFonts w:ascii="Times New Roman" w:hAnsi="Times New Roman" w:cs="Times New Roman"/>
              </w:rPr>
              <w:t>Train Set</w:t>
            </w:r>
          </w:p>
        </w:tc>
        <w:tc>
          <w:tcPr>
            <w:tcW w:w="929" w:type="dxa"/>
            <w:tcBorders>
              <w:top w:val="single" w:sz="4" w:space="0" w:color="auto"/>
            </w:tcBorders>
            <w:vAlign w:val="center"/>
          </w:tcPr>
          <w:p w14:paraId="2690BFFD" w14:textId="463CBEF8" w:rsidR="00552FAF" w:rsidRPr="00721AE3" w:rsidRDefault="00050DEA" w:rsidP="00CE2308">
            <w:pPr>
              <w:spacing w:before="240" w:line="360" w:lineRule="auto"/>
              <w:jc w:val="center"/>
              <w:rPr>
                <w:rFonts w:ascii="Times New Roman" w:hAnsi="Times New Roman" w:cs="Times New Roman"/>
              </w:rPr>
            </w:pPr>
            <w:r w:rsidRPr="00721AE3">
              <w:rPr>
                <w:rFonts w:ascii="Times New Roman" w:hAnsi="Times New Roman" w:cs="Times New Roman"/>
              </w:rPr>
              <w:t>0.</w:t>
            </w:r>
            <w:r w:rsidR="00A10D42" w:rsidRPr="00721AE3">
              <w:rPr>
                <w:rFonts w:ascii="Times New Roman" w:hAnsi="Times New Roman" w:cs="Times New Roman"/>
              </w:rPr>
              <w:t>77</w:t>
            </w:r>
            <w:r w:rsidR="008F23A0" w:rsidRPr="00721AE3">
              <w:rPr>
                <w:rFonts w:ascii="Times New Roman" w:hAnsi="Times New Roman" w:cs="Times New Roman"/>
              </w:rPr>
              <w:t>0</w:t>
            </w:r>
          </w:p>
        </w:tc>
        <w:tc>
          <w:tcPr>
            <w:tcW w:w="1055" w:type="dxa"/>
            <w:tcBorders>
              <w:top w:val="single" w:sz="4" w:space="0" w:color="auto"/>
            </w:tcBorders>
            <w:vAlign w:val="center"/>
          </w:tcPr>
          <w:p w14:paraId="48C29692" w14:textId="23770A03" w:rsidR="00552FAF" w:rsidRPr="00721AE3" w:rsidRDefault="00A10D42" w:rsidP="00CE2308">
            <w:pPr>
              <w:spacing w:before="240" w:line="360" w:lineRule="auto"/>
              <w:jc w:val="center"/>
              <w:rPr>
                <w:rFonts w:ascii="Times New Roman" w:hAnsi="Times New Roman" w:cs="Times New Roman"/>
              </w:rPr>
            </w:pPr>
            <w:r w:rsidRPr="00721AE3">
              <w:rPr>
                <w:rFonts w:ascii="Times New Roman" w:hAnsi="Times New Roman" w:cs="Times New Roman"/>
              </w:rPr>
              <w:t>3.</w:t>
            </w:r>
            <w:r w:rsidR="005C5869" w:rsidRPr="00721AE3">
              <w:rPr>
                <w:rFonts w:ascii="Times New Roman" w:hAnsi="Times New Roman" w:cs="Times New Roman"/>
              </w:rPr>
              <w:t>6</w:t>
            </w:r>
            <w:r w:rsidR="006C07DF" w:rsidRPr="00721AE3">
              <w:rPr>
                <w:rFonts w:ascii="Times New Roman" w:hAnsi="Times New Roman" w:cs="Times New Roman"/>
              </w:rPr>
              <w:t>84</w:t>
            </w:r>
          </w:p>
        </w:tc>
        <w:tc>
          <w:tcPr>
            <w:tcW w:w="1663" w:type="dxa"/>
            <w:tcBorders>
              <w:top w:val="single" w:sz="4" w:space="0" w:color="auto"/>
            </w:tcBorders>
            <w:vAlign w:val="center"/>
          </w:tcPr>
          <w:p w14:paraId="1A221A9D" w14:textId="28C7C75E" w:rsidR="00552FAF" w:rsidRPr="00721AE3" w:rsidRDefault="005C5869" w:rsidP="00CE2308">
            <w:pPr>
              <w:spacing w:before="240" w:line="360" w:lineRule="auto"/>
              <w:jc w:val="center"/>
              <w:rPr>
                <w:rFonts w:ascii="Times New Roman" w:hAnsi="Times New Roman" w:cs="Times New Roman"/>
              </w:rPr>
            </w:pPr>
            <w:r w:rsidRPr="00721AE3">
              <w:rPr>
                <w:rFonts w:ascii="Times New Roman" w:hAnsi="Times New Roman" w:cs="Times New Roman"/>
              </w:rPr>
              <w:t>22</w:t>
            </w:r>
            <w:r w:rsidR="00796BE2" w:rsidRPr="00721AE3">
              <w:rPr>
                <w:rFonts w:ascii="Times New Roman" w:hAnsi="Times New Roman" w:cs="Times New Roman"/>
              </w:rPr>
              <w:t>.</w:t>
            </w:r>
            <w:r w:rsidR="006C07DF" w:rsidRPr="00721AE3">
              <w:rPr>
                <w:rFonts w:ascii="Times New Roman" w:hAnsi="Times New Roman" w:cs="Times New Roman"/>
              </w:rPr>
              <w:t>25</w:t>
            </w:r>
          </w:p>
        </w:tc>
        <w:tc>
          <w:tcPr>
            <w:tcW w:w="735" w:type="dxa"/>
            <w:tcBorders>
              <w:top w:val="single" w:sz="4" w:space="0" w:color="auto"/>
            </w:tcBorders>
            <w:vAlign w:val="center"/>
          </w:tcPr>
          <w:p w14:paraId="38A16D4D" w14:textId="1338366B" w:rsidR="00552FAF" w:rsidRPr="00721AE3" w:rsidRDefault="001606FE" w:rsidP="00CE2308">
            <w:pPr>
              <w:spacing w:before="240" w:line="360" w:lineRule="auto"/>
              <w:jc w:val="center"/>
              <w:rPr>
                <w:rFonts w:ascii="Times New Roman" w:hAnsi="Times New Roman" w:cs="Times New Roman"/>
              </w:rPr>
            </w:pPr>
            <w:r w:rsidRPr="00721AE3">
              <w:rPr>
                <w:rFonts w:ascii="Times New Roman" w:hAnsi="Times New Roman" w:cs="Times New Roman"/>
              </w:rPr>
              <w:t>24.</w:t>
            </w:r>
            <w:r w:rsidR="007B6A19" w:rsidRPr="00721AE3">
              <w:rPr>
                <w:rFonts w:ascii="Times New Roman" w:hAnsi="Times New Roman" w:cs="Times New Roman"/>
              </w:rPr>
              <w:t>89</w:t>
            </w:r>
          </w:p>
        </w:tc>
        <w:tc>
          <w:tcPr>
            <w:tcW w:w="992" w:type="dxa"/>
            <w:tcBorders>
              <w:top w:val="single" w:sz="4" w:space="0" w:color="auto"/>
            </w:tcBorders>
            <w:vAlign w:val="center"/>
          </w:tcPr>
          <w:p w14:paraId="47C52F8F" w14:textId="6E8C7578" w:rsidR="00552FAF" w:rsidRPr="00721AE3" w:rsidRDefault="00AD17B1" w:rsidP="00CE2308">
            <w:pPr>
              <w:spacing w:before="240" w:line="360" w:lineRule="auto"/>
              <w:jc w:val="center"/>
              <w:rPr>
                <w:rFonts w:ascii="Times New Roman" w:hAnsi="Times New Roman" w:cs="Times New Roman"/>
              </w:rPr>
            </w:pPr>
            <w:r w:rsidRPr="00721AE3">
              <w:rPr>
                <w:rFonts w:ascii="Times New Roman" w:hAnsi="Times New Roman" w:cs="Times New Roman"/>
              </w:rPr>
              <w:t>46.</w:t>
            </w:r>
            <w:r w:rsidR="007B6A19" w:rsidRPr="00721AE3">
              <w:rPr>
                <w:rFonts w:ascii="Times New Roman" w:hAnsi="Times New Roman" w:cs="Times New Roman"/>
              </w:rPr>
              <w:t>40</w:t>
            </w:r>
          </w:p>
        </w:tc>
        <w:tc>
          <w:tcPr>
            <w:tcW w:w="711" w:type="dxa"/>
            <w:tcBorders>
              <w:top w:val="single" w:sz="4" w:space="0" w:color="auto"/>
            </w:tcBorders>
            <w:vAlign w:val="center"/>
          </w:tcPr>
          <w:p w14:paraId="4002F9A2" w14:textId="1D836B31" w:rsidR="00552FAF" w:rsidRPr="00721AE3" w:rsidRDefault="00AD17B1" w:rsidP="00CE2308">
            <w:pPr>
              <w:spacing w:before="240" w:line="360" w:lineRule="auto"/>
              <w:jc w:val="center"/>
              <w:rPr>
                <w:rFonts w:ascii="Times New Roman" w:hAnsi="Times New Roman" w:cs="Times New Roman"/>
              </w:rPr>
            </w:pPr>
            <w:r w:rsidRPr="00721AE3">
              <w:rPr>
                <w:rFonts w:ascii="Times New Roman" w:hAnsi="Times New Roman" w:cs="Times New Roman"/>
              </w:rPr>
              <w:t>73</w:t>
            </w:r>
            <w:r w:rsidR="00222403" w:rsidRPr="00721AE3">
              <w:rPr>
                <w:rFonts w:ascii="Times New Roman" w:hAnsi="Times New Roman" w:cs="Times New Roman"/>
              </w:rPr>
              <w:t>.</w:t>
            </w:r>
            <w:r w:rsidR="007B6A19" w:rsidRPr="00721AE3">
              <w:rPr>
                <w:rFonts w:ascii="Times New Roman" w:hAnsi="Times New Roman" w:cs="Times New Roman"/>
              </w:rPr>
              <w:t>42</w:t>
            </w:r>
          </w:p>
        </w:tc>
      </w:tr>
      <w:tr w:rsidR="00721AE3" w:rsidRPr="00721AE3" w14:paraId="693E3DA7" w14:textId="3C13FF93" w:rsidTr="00C85768">
        <w:tc>
          <w:tcPr>
            <w:tcW w:w="1560" w:type="dxa"/>
            <w:tcBorders>
              <w:bottom w:val="single" w:sz="4" w:space="0" w:color="auto"/>
            </w:tcBorders>
            <w:vAlign w:val="center"/>
          </w:tcPr>
          <w:p w14:paraId="71F1B755" w14:textId="755EA7CE" w:rsidR="00552FAF" w:rsidRPr="00721AE3" w:rsidRDefault="00552FAF" w:rsidP="00CE2308">
            <w:pPr>
              <w:spacing w:line="360" w:lineRule="auto"/>
              <w:jc w:val="center"/>
              <w:rPr>
                <w:rFonts w:ascii="Times New Roman" w:hAnsi="Times New Roman" w:cs="Times New Roman"/>
              </w:rPr>
            </w:pPr>
            <w:r w:rsidRPr="00721AE3">
              <w:rPr>
                <w:rFonts w:ascii="Times New Roman" w:hAnsi="Times New Roman" w:cs="Times New Roman"/>
              </w:rPr>
              <w:t>Test Set</w:t>
            </w:r>
          </w:p>
        </w:tc>
        <w:tc>
          <w:tcPr>
            <w:tcW w:w="929" w:type="dxa"/>
            <w:tcBorders>
              <w:bottom w:val="single" w:sz="4" w:space="0" w:color="auto"/>
            </w:tcBorders>
            <w:vAlign w:val="center"/>
          </w:tcPr>
          <w:p w14:paraId="61133C80" w14:textId="55B3EE2C" w:rsidR="00552FAF" w:rsidRPr="00721AE3" w:rsidRDefault="00A10D42" w:rsidP="00CE2308">
            <w:pPr>
              <w:spacing w:line="360" w:lineRule="auto"/>
              <w:jc w:val="center"/>
              <w:rPr>
                <w:rFonts w:ascii="Times New Roman" w:hAnsi="Times New Roman" w:cs="Times New Roman"/>
              </w:rPr>
            </w:pPr>
            <w:r w:rsidRPr="00721AE3">
              <w:rPr>
                <w:rFonts w:ascii="Times New Roman" w:hAnsi="Times New Roman" w:cs="Times New Roman"/>
              </w:rPr>
              <w:t>0.74</w:t>
            </w:r>
            <w:r w:rsidR="008F23A0" w:rsidRPr="00721AE3">
              <w:rPr>
                <w:rFonts w:ascii="Times New Roman" w:hAnsi="Times New Roman" w:cs="Times New Roman"/>
              </w:rPr>
              <w:t>6</w:t>
            </w:r>
          </w:p>
        </w:tc>
        <w:tc>
          <w:tcPr>
            <w:tcW w:w="1055" w:type="dxa"/>
            <w:tcBorders>
              <w:bottom w:val="single" w:sz="4" w:space="0" w:color="auto"/>
            </w:tcBorders>
            <w:vAlign w:val="center"/>
          </w:tcPr>
          <w:p w14:paraId="26C57195" w14:textId="72C4F0BD" w:rsidR="00552FAF" w:rsidRPr="00721AE3" w:rsidRDefault="005C5869" w:rsidP="00CE2308">
            <w:pPr>
              <w:spacing w:line="360" w:lineRule="auto"/>
              <w:jc w:val="center"/>
              <w:rPr>
                <w:rFonts w:ascii="Times New Roman" w:hAnsi="Times New Roman" w:cs="Times New Roman"/>
              </w:rPr>
            </w:pPr>
            <w:r w:rsidRPr="00721AE3">
              <w:rPr>
                <w:rFonts w:ascii="Times New Roman" w:hAnsi="Times New Roman" w:cs="Times New Roman"/>
              </w:rPr>
              <w:t>3.8</w:t>
            </w:r>
            <w:r w:rsidR="006C07DF" w:rsidRPr="00721AE3">
              <w:rPr>
                <w:rFonts w:ascii="Times New Roman" w:hAnsi="Times New Roman" w:cs="Times New Roman"/>
              </w:rPr>
              <w:t>85</w:t>
            </w:r>
          </w:p>
        </w:tc>
        <w:tc>
          <w:tcPr>
            <w:tcW w:w="1663" w:type="dxa"/>
            <w:tcBorders>
              <w:bottom w:val="single" w:sz="4" w:space="0" w:color="auto"/>
            </w:tcBorders>
            <w:vAlign w:val="center"/>
          </w:tcPr>
          <w:p w14:paraId="3A04E7D2" w14:textId="08546BF0" w:rsidR="00552FAF" w:rsidRPr="00721AE3" w:rsidRDefault="001606FE" w:rsidP="00CE2308">
            <w:pPr>
              <w:spacing w:line="360" w:lineRule="auto"/>
              <w:jc w:val="center"/>
              <w:rPr>
                <w:rFonts w:ascii="Times New Roman" w:hAnsi="Times New Roman" w:cs="Times New Roman"/>
              </w:rPr>
            </w:pPr>
            <w:r w:rsidRPr="00721AE3">
              <w:rPr>
                <w:rFonts w:ascii="Times New Roman" w:hAnsi="Times New Roman" w:cs="Times New Roman"/>
              </w:rPr>
              <w:t>23.</w:t>
            </w:r>
            <w:r w:rsidR="006C07DF" w:rsidRPr="00721AE3">
              <w:rPr>
                <w:rFonts w:ascii="Times New Roman" w:hAnsi="Times New Roman" w:cs="Times New Roman"/>
              </w:rPr>
              <w:t>81</w:t>
            </w:r>
          </w:p>
        </w:tc>
        <w:tc>
          <w:tcPr>
            <w:tcW w:w="735" w:type="dxa"/>
            <w:tcBorders>
              <w:bottom w:val="single" w:sz="4" w:space="0" w:color="auto"/>
            </w:tcBorders>
            <w:vAlign w:val="center"/>
          </w:tcPr>
          <w:p w14:paraId="5DA5ED4D" w14:textId="29BD919B" w:rsidR="00552FAF" w:rsidRPr="00721AE3" w:rsidRDefault="001606FE" w:rsidP="00CE2308">
            <w:pPr>
              <w:spacing w:line="360" w:lineRule="auto"/>
              <w:jc w:val="center"/>
              <w:rPr>
                <w:rFonts w:ascii="Times New Roman" w:hAnsi="Times New Roman" w:cs="Times New Roman"/>
              </w:rPr>
            </w:pPr>
            <w:r w:rsidRPr="00721AE3">
              <w:rPr>
                <w:rFonts w:ascii="Times New Roman" w:hAnsi="Times New Roman" w:cs="Times New Roman"/>
              </w:rPr>
              <w:t>23.</w:t>
            </w:r>
            <w:r w:rsidR="007B6A19" w:rsidRPr="00721AE3">
              <w:rPr>
                <w:rFonts w:ascii="Times New Roman" w:hAnsi="Times New Roman" w:cs="Times New Roman"/>
              </w:rPr>
              <w:t>72</w:t>
            </w:r>
          </w:p>
        </w:tc>
        <w:tc>
          <w:tcPr>
            <w:tcW w:w="992" w:type="dxa"/>
            <w:tcBorders>
              <w:bottom w:val="single" w:sz="4" w:space="0" w:color="auto"/>
            </w:tcBorders>
            <w:vAlign w:val="center"/>
          </w:tcPr>
          <w:p w14:paraId="4A380CF0" w14:textId="6887C2B8" w:rsidR="00552FAF" w:rsidRPr="00721AE3" w:rsidRDefault="00AD17B1" w:rsidP="00CE2308">
            <w:pPr>
              <w:spacing w:line="360" w:lineRule="auto"/>
              <w:jc w:val="center"/>
              <w:rPr>
                <w:rFonts w:ascii="Times New Roman" w:hAnsi="Times New Roman" w:cs="Times New Roman"/>
              </w:rPr>
            </w:pPr>
            <w:r w:rsidRPr="00721AE3">
              <w:rPr>
                <w:rFonts w:ascii="Times New Roman" w:hAnsi="Times New Roman" w:cs="Times New Roman"/>
              </w:rPr>
              <w:t>44.</w:t>
            </w:r>
            <w:r w:rsidR="007B6A19" w:rsidRPr="00721AE3">
              <w:rPr>
                <w:rFonts w:ascii="Times New Roman" w:hAnsi="Times New Roman" w:cs="Times New Roman"/>
              </w:rPr>
              <w:t>73</w:t>
            </w:r>
          </w:p>
        </w:tc>
        <w:tc>
          <w:tcPr>
            <w:tcW w:w="711" w:type="dxa"/>
            <w:tcBorders>
              <w:bottom w:val="single" w:sz="4" w:space="0" w:color="auto"/>
            </w:tcBorders>
            <w:vAlign w:val="center"/>
          </w:tcPr>
          <w:p w14:paraId="6640740E" w14:textId="3B45FDC3" w:rsidR="00552FAF" w:rsidRPr="00721AE3" w:rsidRDefault="00222403" w:rsidP="00CE2308">
            <w:pPr>
              <w:spacing w:line="360" w:lineRule="auto"/>
              <w:jc w:val="center"/>
              <w:rPr>
                <w:rFonts w:ascii="Times New Roman" w:hAnsi="Times New Roman" w:cs="Times New Roman"/>
              </w:rPr>
            </w:pPr>
            <w:r w:rsidRPr="00721AE3">
              <w:rPr>
                <w:rFonts w:ascii="Times New Roman" w:hAnsi="Times New Roman" w:cs="Times New Roman"/>
              </w:rPr>
              <w:t>71.</w:t>
            </w:r>
            <w:r w:rsidR="007B6A19" w:rsidRPr="00721AE3">
              <w:rPr>
                <w:rFonts w:ascii="Times New Roman" w:hAnsi="Times New Roman" w:cs="Times New Roman"/>
              </w:rPr>
              <w:t>57</w:t>
            </w:r>
          </w:p>
        </w:tc>
      </w:tr>
    </w:tbl>
    <w:p w14:paraId="04F74900" w14:textId="7D73000A" w:rsidR="00153105" w:rsidRPr="00721AE3" w:rsidRDefault="00D82558" w:rsidP="0073517F">
      <w:pPr>
        <w:pStyle w:val="a9"/>
        <w:numPr>
          <w:ilvl w:val="1"/>
          <w:numId w:val="1"/>
        </w:numPr>
        <w:spacing w:before="240" w:line="360" w:lineRule="auto"/>
        <w:ind w:left="426" w:hanging="426"/>
        <w:jc w:val="both"/>
        <w:rPr>
          <w:rFonts w:ascii="Times New Roman" w:hAnsi="Times New Roman" w:cs="Times New Roman"/>
          <w:b/>
          <w:bCs/>
          <w:sz w:val="24"/>
          <w:szCs w:val="24"/>
        </w:rPr>
      </w:pPr>
      <w:bookmarkStart w:id="2" w:name="_Hlk227085712"/>
      <w:r w:rsidRPr="00721AE3">
        <w:rPr>
          <w:rFonts w:ascii="Times New Roman" w:hAnsi="Times New Roman" w:cs="Times New Roman"/>
          <w:b/>
          <w:bCs/>
          <w:sz w:val="24"/>
          <w:szCs w:val="24"/>
        </w:rPr>
        <w:t>Shapley Additive Explanations (SHAP) Model</w:t>
      </w:r>
    </w:p>
    <w:bookmarkEnd w:id="2"/>
    <w:p w14:paraId="38014FDF" w14:textId="557EA497" w:rsidR="00B65E8A" w:rsidRPr="00721AE3" w:rsidRDefault="00250DBB" w:rsidP="00681A70">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To uncover the distance decay effect of amenities on housing prices, this study employs Shapley Additive Explanations (SHAP) as an interpretability framework for the XGBoost model.</w:t>
      </w:r>
      <w:r w:rsidR="00D82558" w:rsidRPr="00721AE3">
        <w:rPr>
          <w:rFonts w:ascii="Times New Roman" w:hAnsi="Times New Roman" w:cs="Times New Roman"/>
          <w:sz w:val="24"/>
          <w:szCs w:val="24"/>
        </w:rPr>
        <w:t xml:space="preserve"> </w:t>
      </w:r>
      <w:r w:rsidR="00F52D09" w:rsidRPr="00721AE3">
        <w:rPr>
          <w:rFonts w:ascii="Times New Roman" w:hAnsi="Times New Roman" w:cs="Times New Roman"/>
          <w:sz w:val="24"/>
          <w:szCs w:val="24"/>
        </w:rPr>
        <w:t>SHAP is grounded in game theory and attributes to each feature a contribution value</w:t>
      </w:r>
      <w:r w:rsidR="0012113D" w:rsidRPr="00721AE3">
        <w:rPr>
          <w:rFonts w:ascii="Times New Roman" w:hAnsi="Times New Roman" w:cs="Times New Roman"/>
          <w:sz w:val="24"/>
          <w:szCs w:val="24"/>
        </w:rPr>
        <w:t xml:space="preserve">, </w:t>
      </w:r>
      <w:r w:rsidR="00F52D09" w:rsidRPr="00721AE3">
        <w:rPr>
          <w:rFonts w:ascii="Times New Roman" w:hAnsi="Times New Roman" w:cs="Times New Roman"/>
          <w:sz w:val="24"/>
          <w:szCs w:val="24"/>
        </w:rPr>
        <w:t>known as the Shapley value</w:t>
      </w:r>
      <w:r w:rsidR="0012113D" w:rsidRPr="00721AE3">
        <w:rPr>
          <w:rFonts w:ascii="Times New Roman" w:hAnsi="Times New Roman" w:cs="Times New Roman"/>
          <w:sz w:val="24"/>
          <w:szCs w:val="24"/>
        </w:rPr>
        <w:t xml:space="preserve">, </w:t>
      </w:r>
      <w:r w:rsidR="00F52D09" w:rsidRPr="00721AE3">
        <w:rPr>
          <w:rFonts w:ascii="Times New Roman" w:hAnsi="Times New Roman" w:cs="Times New Roman"/>
          <w:sz w:val="24"/>
          <w:szCs w:val="24"/>
        </w:rPr>
        <w:t>based on its marginal effect on the prediction across all possible feature combinations (Lundberg &amp; Lee, 2017</w:t>
      </w:r>
      <w:r w:rsidR="0012113D" w:rsidRPr="00721AE3">
        <w:rPr>
          <w:rFonts w:ascii="Times New Roman" w:hAnsi="Times New Roman" w:cs="Times New Roman"/>
          <w:sz w:val="24"/>
          <w:szCs w:val="24"/>
        </w:rPr>
        <w:t>; Molnar, 2021</w:t>
      </w:r>
      <w:r w:rsidR="00F52D09" w:rsidRPr="00721AE3">
        <w:rPr>
          <w:rFonts w:ascii="Times New Roman" w:hAnsi="Times New Roman" w:cs="Times New Roman"/>
          <w:sz w:val="24"/>
          <w:szCs w:val="24"/>
        </w:rPr>
        <w:t>). Unlike conventional importance measures, SHAP provides both global and local interpretability, allowing the analysis of how the impact of a variable varies across observations</w:t>
      </w:r>
      <w:r w:rsidR="0012113D" w:rsidRPr="00721AE3">
        <w:rPr>
          <w:rFonts w:ascii="Times New Roman" w:hAnsi="Times New Roman" w:cs="Times New Roman"/>
          <w:sz w:val="24"/>
          <w:szCs w:val="24"/>
        </w:rPr>
        <w:t xml:space="preserve"> (</w:t>
      </w:r>
      <w:r w:rsidR="001F313B" w:rsidRPr="00721AE3">
        <w:rPr>
          <w:rFonts w:ascii="Times New Roman" w:hAnsi="Times New Roman" w:cs="Times New Roman"/>
          <w:sz w:val="24"/>
          <w:szCs w:val="24"/>
        </w:rPr>
        <w:t>Dou et al., 2023</w:t>
      </w:r>
      <w:r w:rsidR="00751C86" w:rsidRPr="00721AE3">
        <w:rPr>
          <w:rFonts w:ascii="Times New Roman" w:hAnsi="Times New Roman" w:cs="Times New Roman"/>
          <w:sz w:val="24"/>
          <w:szCs w:val="24"/>
        </w:rPr>
        <w:t>)</w:t>
      </w:r>
      <w:r w:rsidR="00F52D09" w:rsidRPr="00721AE3">
        <w:rPr>
          <w:rFonts w:ascii="Times New Roman" w:hAnsi="Times New Roman" w:cs="Times New Roman"/>
          <w:sz w:val="24"/>
          <w:szCs w:val="24"/>
        </w:rPr>
        <w:t>. This is particularly important for this study, as the effect of amenities is inherently non-linear and distance-dependent, with contributions that may change in magnitude and direction over space</w:t>
      </w:r>
      <w:r w:rsidR="00751C86" w:rsidRPr="00721AE3">
        <w:rPr>
          <w:rFonts w:ascii="Times New Roman" w:hAnsi="Times New Roman" w:cs="Times New Roman"/>
          <w:sz w:val="24"/>
          <w:szCs w:val="24"/>
        </w:rPr>
        <w:t xml:space="preserve"> (Lee et al., 2025).</w:t>
      </w:r>
    </w:p>
    <w:p w14:paraId="79E03901" w14:textId="57B7DFAB" w:rsidR="000B4B2B" w:rsidRPr="00721AE3" w:rsidRDefault="000B4B2B" w:rsidP="00CE2308">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Formally, the SHAP value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j</m:t>
            </m:r>
          </m:sub>
        </m:sSub>
        <m:r>
          <w:rPr>
            <w:rFonts w:ascii="Cambria Math" w:hAnsi="Cambria Math" w:cs="Times New Roman"/>
            <w:sz w:val="24"/>
            <w:szCs w:val="24"/>
          </w:rPr>
          <m:t>)</m:t>
        </m:r>
      </m:oMath>
      <w:r w:rsidRPr="00721AE3">
        <w:rPr>
          <w:rFonts w:ascii="Times New Roman" w:hAnsi="Times New Roman" w:cs="Times New Roman"/>
          <w:sz w:val="24"/>
          <w:szCs w:val="24"/>
        </w:rPr>
        <w:t xml:space="preserve"> for a feature </w:t>
      </w:r>
      <m:oMath>
        <m:r>
          <w:rPr>
            <w:rFonts w:ascii="Cambria Math" w:hAnsi="Cambria Math" w:cs="Times New Roman"/>
            <w:sz w:val="24"/>
            <w:szCs w:val="24"/>
          </w:rPr>
          <m:t>j</m:t>
        </m:r>
      </m:oMath>
      <w:r w:rsidRPr="00721AE3">
        <w:rPr>
          <w:rFonts w:ascii="Times New Roman" w:hAnsi="Times New Roman" w:cs="Times New Roman"/>
          <w:sz w:val="24"/>
          <w:szCs w:val="24"/>
        </w:rPr>
        <w:t xml:space="preserve"> is </w:t>
      </w:r>
      <w:r w:rsidR="006E367D" w:rsidRPr="00721AE3">
        <w:rPr>
          <w:rFonts w:ascii="Times New Roman" w:hAnsi="Times New Roman" w:cs="Times New Roman"/>
          <w:sz w:val="24"/>
          <w:szCs w:val="24"/>
        </w:rPr>
        <w:t>defined</w:t>
      </w:r>
      <w:r w:rsidRPr="00721AE3">
        <w:rPr>
          <w:rFonts w:ascii="Times New Roman" w:hAnsi="Times New Roman" w:cs="Times New Roman"/>
          <w:sz w:val="24"/>
          <w:szCs w:val="24"/>
        </w:rPr>
        <w:t>:</w:t>
      </w:r>
    </w:p>
    <w:p w14:paraId="29F7C7F0" w14:textId="77777777" w:rsidR="000B4B2B" w:rsidRPr="00721AE3" w:rsidRDefault="00000000" w:rsidP="00CE2308">
      <w:pPr>
        <w:spacing w:line="360" w:lineRule="auto"/>
        <w:rPr>
          <w:rFonts w:ascii="Times New Roman" w:hAnsi="Times New Roman" w:cs="Times New Roman"/>
          <w:sz w:val="24"/>
          <w:szCs w:val="24"/>
        </w:rPr>
      </w:pPr>
      <m:oMathPara>
        <m:oMathParaPr>
          <m:jc m:val="right"/>
        </m:oMathParaPr>
        <m:oMath>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j</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S⊆F\</m:t>
              </m:r>
              <m:r>
                <m:rPr>
                  <m:lit/>
                </m:rPr>
                <w:rPr>
                  <w:rFonts w:ascii="Cambria Math" w:hAnsi="Cambria Math" w:cs="Times New Roman"/>
                  <w:sz w:val="24"/>
                  <w:szCs w:val="24"/>
                </w:rPr>
                <m:t>{</m:t>
              </m:r>
              <m:r>
                <w:rPr>
                  <w:rFonts w:ascii="Cambria Math" w:hAnsi="Cambria Math" w:cs="Times New Roman"/>
                  <w:sz w:val="24"/>
                  <w:szCs w:val="24"/>
                </w:rPr>
                <m:t>j}</m:t>
              </m:r>
            </m:sub>
            <m:sup/>
            <m:e>
              <m:f>
                <m:fPr>
                  <m:ctrlPr>
                    <w:rPr>
                      <w:rFonts w:ascii="Cambria Math" w:hAnsi="Cambria Math" w:cs="Times New Roman"/>
                      <w:i/>
                      <w:sz w:val="24"/>
                      <w:szCs w:val="24"/>
                    </w:rPr>
                  </m:ctrlPr>
                </m:fPr>
                <m:num>
                  <m:d>
                    <m:dPr>
                      <m:begChr m:val="|"/>
                      <m:endChr m:val="|"/>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m:t>
                  </m:r>
                  <m:d>
                    <m:dPr>
                      <m:ctrlPr>
                        <w:rPr>
                          <w:rFonts w:ascii="Cambria Math" w:hAnsi="Cambria Math" w:cs="Times New Roman"/>
                          <w:i/>
                          <w:sz w:val="24"/>
                          <w:szCs w:val="24"/>
                        </w:rPr>
                      </m:ctrlPr>
                    </m:dPr>
                    <m:e>
                      <m:d>
                        <m:dPr>
                          <m:begChr m:val="|"/>
                          <m:endChr m:val="|"/>
                          <m:ctrlPr>
                            <w:rPr>
                              <w:rFonts w:ascii="Cambria Math" w:hAnsi="Cambria Math" w:cs="Times New Roman"/>
                              <w:i/>
                              <w:sz w:val="24"/>
                              <w:szCs w:val="24"/>
                            </w:rPr>
                          </m:ctrlPr>
                        </m:dPr>
                        <m:e>
                          <m:r>
                            <w:rPr>
                              <w:rFonts w:ascii="Cambria Math" w:hAnsi="Cambria Math" w:cs="Times New Roman"/>
                              <w:sz w:val="24"/>
                              <w:szCs w:val="24"/>
                            </w:rPr>
                            <m:t>F</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-1</m:t>
                      </m:r>
                    </m:e>
                  </m:d>
                  <m:r>
                    <w:rPr>
                      <w:rFonts w:ascii="Cambria Math" w:hAnsi="Cambria Math" w:cs="Times New Roman"/>
                      <w:sz w:val="24"/>
                      <w:szCs w:val="24"/>
                    </w:rPr>
                    <m:t>!</m:t>
                  </m:r>
                </m:num>
                <m:den>
                  <m:d>
                    <m:dPr>
                      <m:begChr m:val="|"/>
                      <m:endChr m:val="|"/>
                      <m:ctrlPr>
                        <w:rPr>
                          <w:rFonts w:ascii="Cambria Math" w:hAnsi="Cambria Math" w:cs="Times New Roman"/>
                          <w:i/>
                          <w:sz w:val="24"/>
                          <w:szCs w:val="24"/>
                        </w:rPr>
                      </m:ctrlPr>
                    </m:dPr>
                    <m:e>
                      <m:r>
                        <w:rPr>
                          <w:rFonts w:ascii="Cambria Math" w:hAnsi="Cambria Math" w:cs="Times New Roman"/>
                          <w:sz w:val="24"/>
                          <w:szCs w:val="24"/>
                        </w:rPr>
                        <m:t>F</m:t>
                      </m:r>
                    </m:e>
                  </m:d>
                  <m:r>
                    <w:rPr>
                      <w:rFonts w:ascii="Cambria Math" w:hAnsi="Cambria Math" w:cs="Times New Roman"/>
                      <w:sz w:val="24"/>
                      <w:szCs w:val="24"/>
                    </w:rPr>
                    <m:t>!</m:t>
                  </m:r>
                </m:den>
              </m:f>
            </m:e>
          </m:nary>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r>
                <w:rPr>
                  <w:rFonts w:ascii="Cambria Math" w:hAnsi="Cambria Math" w:cs="Times New Roman"/>
                  <w:sz w:val="24"/>
                  <w:szCs w:val="24"/>
                </w:rPr>
                <m:t>(S∪{j})-</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r>
                <w:rPr>
                  <w:rFonts w:ascii="Cambria Math" w:hAnsi="Cambria Math" w:cs="Times New Roman"/>
                  <w:sz w:val="24"/>
                  <w:szCs w:val="24"/>
                </w:rPr>
                <m:t>(S)</m:t>
              </m:r>
            </m:e>
          </m:d>
          <m:r>
            <w:rPr>
              <w:rFonts w:ascii="Cambria Math" w:hAnsi="Cambria Math" w:cs="Times New Roman"/>
              <w:sz w:val="24"/>
              <w:szCs w:val="24"/>
            </w:rPr>
            <m:t xml:space="preserve">                                                   (4)</m:t>
          </m:r>
        </m:oMath>
      </m:oMathPara>
    </w:p>
    <w:p w14:paraId="038A0F89" w14:textId="08AF01FE" w:rsidR="0096454A" w:rsidRPr="00721AE3" w:rsidRDefault="000B4B2B"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Where</w:t>
      </w:r>
      <w:r w:rsidR="00F7282E" w:rsidRPr="00721AE3">
        <w:rPr>
          <w:rFonts w:ascii="Times New Roman" w:hAnsi="Times New Roman" w:cs="Times New Roman"/>
          <w:sz w:val="24"/>
          <w:szCs w:val="24"/>
        </w:rPr>
        <w:t xml:space="preserve"> </w:t>
      </w:r>
      <m:oMath>
        <m:r>
          <w:rPr>
            <w:rFonts w:ascii="Cambria Math" w:hAnsi="Cambria Math" w:cs="Times New Roman"/>
            <w:sz w:val="24"/>
            <w:szCs w:val="24"/>
          </w:rPr>
          <m:t>x</m:t>
        </m:r>
      </m:oMath>
      <w:r w:rsidR="00F7282E" w:rsidRPr="00721AE3">
        <w:rPr>
          <w:rFonts w:ascii="Times New Roman" w:hAnsi="Times New Roman" w:cs="Times New Roman"/>
          <w:sz w:val="24"/>
          <w:szCs w:val="24"/>
        </w:rPr>
        <w:t xml:space="preserve"> is </w:t>
      </w:r>
      <w:r w:rsidR="00D8388C" w:rsidRPr="00721AE3">
        <w:rPr>
          <w:rFonts w:ascii="Times New Roman" w:hAnsi="Times New Roman" w:cs="Times New Roman"/>
          <w:sz w:val="24"/>
          <w:szCs w:val="24"/>
        </w:rPr>
        <w:t xml:space="preserve">an </w:t>
      </w:r>
      <w:r w:rsidR="00F7282E" w:rsidRPr="00721AE3">
        <w:rPr>
          <w:rFonts w:ascii="Times New Roman" w:hAnsi="Times New Roman" w:cs="Times New Roman"/>
          <w:sz w:val="24"/>
          <w:szCs w:val="24"/>
        </w:rPr>
        <w:t xml:space="preserve">independent </w:t>
      </w:r>
      <w:r w:rsidR="000F1C3B" w:rsidRPr="00721AE3">
        <w:rPr>
          <w:rFonts w:ascii="Times New Roman" w:hAnsi="Times New Roman" w:cs="Times New Roman"/>
          <w:sz w:val="24"/>
          <w:szCs w:val="24"/>
        </w:rPr>
        <w:t>instance,</w:t>
      </w:r>
      <w:r w:rsidRPr="00721AE3">
        <w:rPr>
          <w:rFonts w:ascii="Times New Roman" w:hAnsi="Times New Roman" w:cs="Times New Roman"/>
          <w:sz w:val="24"/>
          <w:szCs w:val="24"/>
        </w:rPr>
        <w:t xml:space="preserve"> </w:t>
      </w:r>
      <m:oMath>
        <m:r>
          <w:rPr>
            <w:rFonts w:ascii="Cambria Math" w:hAnsi="Cambria Math" w:cs="Times New Roman"/>
            <w:sz w:val="24"/>
            <w:szCs w:val="24"/>
          </w:rPr>
          <m:t xml:space="preserve">S </m:t>
        </m:r>
      </m:oMath>
      <w:r w:rsidR="00764C1D" w:rsidRPr="00721AE3">
        <w:rPr>
          <w:rFonts w:ascii="Times New Roman" w:hAnsi="Times New Roman" w:cs="Times New Roman"/>
          <w:sz w:val="24"/>
          <w:szCs w:val="24"/>
        </w:rPr>
        <w:t xml:space="preserve">represents </w:t>
      </w:r>
      <w:r w:rsidRPr="00721AE3">
        <w:rPr>
          <w:rFonts w:ascii="Times New Roman" w:hAnsi="Times New Roman" w:cs="Times New Roman"/>
          <w:sz w:val="24"/>
          <w:szCs w:val="24"/>
        </w:rPr>
        <w:t xml:space="preserve">a subset of all features excluding </w:t>
      </w:r>
      <m:oMath>
        <m:r>
          <w:rPr>
            <w:rFonts w:ascii="Cambria Math" w:hAnsi="Cambria Math" w:cs="Times New Roman"/>
            <w:sz w:val="24"/>
            <w:szCs w:val="24"/>
          </w:rPr>
          <m:t>j</m:t>
        </m:r>
      </m:oMath>
      <w:r w:rsidRPr="00721AE3">
        <w:rPr>
          <w:rFonts w:ascii="Times New Roman" w:hAnsi="Times New Roman" w:cs="Times New Roman"/>
          <w:sz w:val="24"/>
          <w:szCs w:val="24"/>
        </w:rPr>
        <w:t xml:space="preserve">, </w:t>
      </w:r>
      <m:oMath>
        <m:r>
          <w:rPr>
            <w:rFonts w:ascii="Cambria Math" w:hAnsi="Cambria Math" w:cs="Times New Roman"/>
            <w:sz w:val="24"/>
            <w:szCs w:val="24"/>
          </w:rPr>
          <m:t>|S|</m:t>
        </m:r>
      </m:oMath>
      <w:r w:rsidRPr="00721AE3">
        <w:rPr>
          <w:rFonts w:ascii="Times New Roman" w:hAnsi="Times New Roman" w:cs="Times New Roman"/>
          <w:sz w:val="24"/>
          <w:szCs w:val="24"/>
        </w:rPr>
        <w:t xml:space="preserve"> is the number of features in subset </w:t>
      </w:r>
      <m:oMath>
        <m:r>
          <w:rPr>
            <w:rFonts w:ascii="Cambria Math" w:hAnsi="Cambria Math" w:cs="Times New Roman"/>
            <w:sz w:val="24"/>
            <w:szCs w:val="24"/>
          </w:rPr>
          <m:t>S</m:t>
        </m:r>
      </m:oMath>
      <w:r w:rsidRPr="00721AE3">
        <w:rPr>
          <w:rFonts w:ascii="Times New Roman" w:hAnsi="Times New Roman" w:cs="Times New Roman"/>
          <w:sz w:val="24"/>
          <w:szCs w:val="24"/>
        </w:rPr>
        <w:t xml:space="preserve">, </w:t>
      </w:r>
      <m:oMath>
        <m:r>
          <w:rPr>
            <w:rFonts w:ascii="Cambria Math" w:hAnsi="Cambria Math" w:cs="Times New Roman"/>
            <w:sz w:val="24"/>
            <w:szCs w:val="24"/>
          </w:rPr>
          <m:t>|F|</m:t>
        </m:r>
      </m:oMath>
      <w:r w:rsidRPr="00721AE3">
        <w:rPr>
          <w:rFonts w:ascii="Times New Roman" w:hAnsi="Times New Roman" w:cs="Times New Roman"/>
          <w:sz w:val="24"/>
          <w:szCs w:val="24"/>
        </w:rPr>
        <w:t xml:space="preserve"> is the total number of features,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=E[f(x)|</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s</m:t>
            </m:r>
          </m:sub>
        </m:sSub>
        <m:r>
          <w:rPr>
            <w:rFonts w:ascii="Cambria Math" w:hAnsi="Cambria Math" w:cs="Times New Roman"/>
            <w:sz w:val="24"/>
            <w:szCs w:val="24"/>
          </w:rPr>
          <m:t>]</m:t>
        </m:r>
      </m:oMath>
      <w:r w:rsidRPr="00721AE3">
        <w:rPr>
          <w:rFonts w:ascii="Times New Roman" w:hAnsi="Times New Roman" w:cs="Times New Roman"/>
          <w:sz w:val="24"/>
          <w:szCs w:val="24"/>
        </w:rPr>
        <w:t xml:space="preserve"> is </w:t>
      </w:r>
      <w:r w:rsidR="00224704" w:rsidRPr="00721AE3">
        <w:rPr>
          <w:rFonts w:ascii="Times New Roman" w:hAnsi="Times New Roman" w:cs="Times New Roman"/>
          <w:sz w:val="24"/>
          <w:szCs w:val="24"/>
        </w:rPr>
        <w:t xml:space="preserve">the expected prediction value based on subset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S</m:t>
            </m:r>
          </m:sub>
        </m:sSub>
      </m:oMath>
      <w:r w:rsidR="00224704" w:rsidRPr="00721AE3">
        <w:rPr>
          <w:rFonts w:ascii="Times New Roman" w:hAnsi="Times New Roman" w:cs="Times New Roman"/>
          <w:sz w:val="24"/>
          <w:szCs w:val="24"/>
        </w:rPr>
        <w:t>.</w:t>
      </w:r>
      <w:r w:rsidR="005F1E22" w:rsidRPr="00721AE3">
        <w:rPr>
          <w:rFonts w:ascii="Times New Roman" w:hAnsi="Times New Roman" w:cs="Times New Roman"/>
          <w:sz w:val="24"/>
          <w:szCs w:val="24"/>
        </w:rPr>
        <w:t xml:space="preserve"> The SHAP value is calculated through the weighted sum of the marginal contribution</w:t>
      </w:r>
      <w:r w:rsidR="00BC3014" w:rsidRPr="00721AE3">
        <w:rPr>
          <w:rFonts w:ascii="Times New Roman" w:hAnsi="Times New Roman" w:cs="Times New Roman"/>
          <w:sz w:val="24"/>
          <w:szCs w:val="24"/>
        </w:rPr>
        <w:t xml:space="preserve"> </w:t>
      </w:r>
      <m:oMath>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r>
              <w:rPr>
                <w:rFonts w:ascii="Cambria Math" w:hAnsi="Cambria Math" w:cs="Times New Roman"/>
                <w:sz w:val="24"/>
                <w:szCs w:val="24"/>
              </w:rPr>
              <m:t>(S∪{j})-</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r>
              <w:rPr>
                <w:rFonts w:ascii="Cambria Math" w:hAnsi="Cambria Math" w:cs="Times New Roman"/>
                <w:sz w:val="24"/>
                <w:szCs w:val="24"/>
              </w:rPr>
              <m:t>(S)</m:t>
            </m:r>
          </m:e>
        </m:d>
        <m:r>
          <w:rPr>
            <w:rFonts w:ascii="Cambria Math" w:hAnsi="Cambria Math" w:cs="Times New Roman"/>
            <w:sz w:val="24"/>
            <w:szCs w:val="24"/>
          </w:rPr>
          <m:t xml:space="preserve"> </m:t>
        </m:r>
      </m:oMath>
      <w:r w:rsidR="00722E64" w:rsidRPr="00721AE3">
        <w:rPr>
          <w:rFonts w:ascii="Times New Roman" w:hAnsi="Times New Roman" w:cs="Times New Roman"/>
          <w:sz w:val="24"/>
          <w:szCs w:val="24"/>
        </w:rPr>
        <w:t>across all possible feature combinations</w:t>
      </w:r>
      <w:r w:rsidR="009E45F4" w:rsidRPr="00721AE3">
        <w:rPr>
          <w:rFonts w:ascii="Times New Roman" w:hAnsi="Times New Roman" w:cs="Times New Roman"/>
          <w:sz w:val="24"/>
          <w:szCs w:val="24"/>
        </w:rPr>
        <w:t>.</w:t>
      </w:r>
      <w:r w:rsidR="00BE5B56" w:rsidRPr="00721AE3">
        <w:rPr>
          <w:rFonts w:ascii="Times New Roman" w:hAnsi="Times New Roman" w:cs="Times New Roman"/>
          <w:sz w:val="24"/>
          <w:szCs w:val="24"/>
        </w:rPr>
        <w:t xml:space="preserve"> By leveraging SHAP, this study is able to move beyond average effects and instead trace how the </w:t>
      </w:r>
      <w:r w:rsidR="00BE5B56" w:rsidRPr="00721AE3">
        <w:rPr>
          <w:rFonts w:ascii="Times New Roman" w:hAnsi="Times New Roman" w:cs="Times New Roman"/>
          <w:sz w:val="24"/>
          <w:szCs w:val="24"/>
        </w:rPr>
        <w:lastRenderedPageBreak/>
        <w:t>contribution of each amenity evolves with distance. This enables a direct identification of non-linear distance decay patterns, including thresholds, diminishing effects, and localized disamenities, which are central to the study’s objective.</w:t>
      </w:r>
    </w:p>
    <w:p w14:paraId="52C9A09F" w14:textId="6233E169" w:rsidR="00BE5B56" w:rsidRPr="00721AE3" w:rsidRDefault="00547701" w:rsidP="00CE2308">
      <w:pPr>
        <w:pStyle w:val="a9"/>
        <w:numPr>
          <w:ilvl w:val="1"/>
          <w:numId w:val="1"/>
        </w:numPr>
        <w:spacing w:line="360" w:lineRule="auto"/>
        <w:ind w:left="567" w:hanging="567"/>
        <w:jc w:val="both"/>
        <w:rPr>
          <w:rFonts w:ascii="Times New Roman" w:hAnsi="Times New Roman" w:cs="Times New Roman"/>
          <w:b/>
          <w:bCs/>
          <w:sz w:val="24"/>
          <w:szCs w:val="24"/>
        </w:rPr>
      </w:pPr>
      <w:r w:rsidRPr="00721AE3">
        <w:rPr>
          <w:rFonts w:ascii="Times New Roman" w:hAnsi="Times New Roman" w:cs="Times New Roman"/>
          <w:b/>
          <w:bCs/>
          <w:sz w:val="24"/>
          <w:szCs w:val="24"/>
        </w:rPr>
        <w:t>Accumulated Local Effects (ALE) Model</w:t>
      </w:r>
    </w:p>
    <w:p w14:paraId="7CD44830" w14:textId="52467478" w:rsidR="00BE5B56" w:rsidRPr="00721AE3" w:rsidRDefault="0077190F"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To further examine the functional form of distance decay effects, this study employs Accumulated Local Effects (ALE) plots to visualize how changes in amenity accessibility influence housing prices. While SHAP provides observation-level explanations and captures heterogeneous contributions, ALE complements this analysis by offering a global and unbiased representation of feature effects across the data distribution.</w:t>
      </w:r>
    </w:p>
    <w:p w14:paraId="623A7D6C" w14:textId="7F76D3B5" w:rsidR="0077190F" w:rsidRPr="00721AE3" w:rsidRDefault="00C01F28"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Compared to commonly used visualization tools such as Partial Dependence Plots (PDPs), ALE is more robust in the presence of correlated predictors, a typical characteristic of urban amenity variables. PDPs rely on averaging predictions over the marginal distribution of features, which may involve unrealistic combinations of covariates and lead to biased estimates. In contrast, ALE evaluates the model response within local intervals of the observed data, thereby isolating the effect of a given variable while preserving the underlying dependence structure among features (Apley &amp; Zhu, 2020; Molnar, 2021).</w:t>
      </w:r>
      <w:r w:rsidR="006D4CCF" w:rsidRPr="00721AE3">
        <w:rPr>
          <w:rFonts w:ascii="Times New Roman" w:hAnsi="Times New Roman" w:cs="Times New Roman"/>
          <w:sz w:val="24"/>
          <w:szCs w:val="24"/>
        </w:rPr>
        <w:t xml:space="preserve"> </w:t>
      </w:r>
    </w:p>
    <w:p w14:paraId="663F272F" w14:textId="3C8EC649" w:rsidR="00BE5B56" w:rsidRPr="00721AE3" w:rsidRDefault="00CD0330" w:rsidP="00D67CF7">
      <w:pPr>
        <w:spacing w:after="0" w:line="480" w:lineRule="auto"/>
        <w:jc w:val="both"/>
        <w:rPr>
          <w:rFonts w:ascii="Times New Roman" w:hAnsi="Times New Roman" w:cs="Times New Roman"/>
          <w:sz w:val="24"/>
          <w:szCs w:val="24"/>
        </w:rPr>
      </w:pPr>
      <w:r w:rsidRPr="00721AE3">
        <w:rPr>
          <w:rFonts w:ascii="Times New Roman" w:hAnsi="Times New Roman" w:cs="Times New Roman"/>
          <w:sz w:val="24"/>
          <w:szCs w:val="24"/>
        </w:rPr>
        <w:t>ALE is computed by averaging local changes in model predictions across feature intervals and accumulating them to represent the overall effect</w:t>
      </w:r>
      <w:r w:rsidR="00452E17" w:rsidRPr="00721AE3">
        <w:rPr>
          <w:rFonts w:ascii="Times New Roman" w:hAnsi="Times New Roman" w:cs="Times New Roman"/>
          <w:sz w:val="24"/>
          <w:szCs w:val="24"/>
        </w:rPr>
        <w:t xml:space="preserve"> (Molnar, 2021)</w:t>
      </w:r>
      <w:r w:rsidRPr="00721AE3">
        <w:rPr>
          <w:rFonts w:ascii="Times New Roman" w:hAnsi="Times New Roman" w:cs="Times New Roman"/>
          <w:sz w:val="24"/>
          <w:szCs w:val="24"/>
        </w:rPr>
        <w:t xml:space="preserve">. </w:t>
      </w:r>
      <w:r w:rsidR="00BD0CAF" w:rsidRPr="00721AE3">
        <w:rPr>
          <w:rFonts w:ascii="Times New Roman" w:hAnsi="Times New Roman" w:cs="Times New Roman"/>
          <w:sz w:val="24"/>
          <w:szCs w:val="24"/>
        </w:rPr>
        <w:t xml:space="preserve">The ALE for </w:t>
      </w:r>
      <w:r w:rsidR="00163980" w:rsidRPr="00721AE3">
        <w:rPr>
          <w:rFonts w:ascii="Times New Roman" w:hAnsi="Times New Roman" w:cs="Times New Roman"/>
          <w:sz w:val="24"/>
          <w:szCs w:val="24"/>
        </w:rPr>
        <w:t xml:space="preserve">the </w:t>
      </w:r>
      <w:r w:rsidR="00BD0CAF" w:rsidRPr="00721AE3">
        <w:rPr>
          <w:rFonts w:ascii="Times New Roman" w:hAnsi="Times New Roman" w:cs="Times New Roman"/>
          <w:sz w:val="24"/>
          <w:szCs w:val="24"/>
        </w:rPr>
        <w:t xml:space="preserve">feature </w:t>
      </w:r>
      <m:oMath>
        <m:r>
          <w:rPr>
            <w:rFonts w:ascii="Cambria Math" w:hAnsi="Cambria Math" w:cs="Times New Roman"/>
            <w:sz w:val="24"/>
            <w:szCs w:val="24"/>
          </w:rPr>
          <m:t>j</m:t>
        </m:r>
      </m:oMath>
      <w:r w:rsidR="00163980" w:rsidRPr="00721AE3">
        <w:rPr>
          <w:rFonts w:ascii="Times New Roman" w:hAnsi="Times New Roman" w:cs="Times New Roman"/>
          <w:sz w:val="24"/>
          <w:szCs w:val="24"/>
        </w:rPr>
        <w:t xml:space="preserve"> at value </w:t>
      </w:r>
      <m:oMath>
        <m:r>
          <w:rPr>
            <w:rFonts w:ascii="Cambria Math" w:hAnsi="Cambria Math" w:cs="Times New Roman"/>
            <w:sz w:val="24"/>
            <w:szCs w:val="24"/>
          </w:rPr>
          <m:t xml:space="preserve">x </m:t>
        </m:r>
      </m:oMath>
      <w:r w:rsidR="00163980" w:rsidRPr="00721AE3">
        <w:rPr>
          <w:rFonts w:ascii="Times New Roman" w:hAnsi="Times New Roman" w:cs="Times New Roman"/>
          <w:sz w:val="24"/>
          <w:szCs w:val="24"/>
        </w:rPr>
        <w:t xml:space="preserve">can be expressed as: </w:t>
      </w:r>
    </w:p>
    <w:p w14:paraId="4CA9071E" w14:textId="1D7D13DC" w:rsidR="00C0019E" w:rsidRPr="00721AE3" w:rsidRDefault="00000000" w:rsidP="0096454A">
      <w:pPr>
        <w:rPr>
          <w:rFonts w:ascii="Garamond" w:eastAsia="等线" w:hAnsi="Garamond" w:cs="Times New Roman"/>
          <w:sz w:val="24"/>
          <w:szCs w:val="24"/>
          <w:lang w:eastAsia="zh-CN"/>
        </w:rPr>
      </w:pPr>
      <m:oMathPara>
        <m:oMath>
          <m:eqArr>
            <m:eqArrPr>
              <m:maxDist m:val="1"/>
              <m:ctrlPr>
                <w:rPr>
                  <w:rFonts w:ascii="Cambria Math" w:eastAsia="等线" w:hAnsi="Cambria Math" w:cs="Times New Roman"/>
                  <w:i/>
                  <w:sz w:val="24"/>
                  <w:szCs w:val="24"/>
                  <w:lang w:eastAsia="zh-CN"/>
                </w:rPr>
              </m:ctrlPr>
            </m:eqArrPr>
            <m:e>
              <m:acc>
                <m:accPr>
                  <m:ctrlPr>
                    <w:rPr>
                      <w:rFonts w:ascii="Cambria Math" w:eastAsia="等线" w:hAnsi="Cambria Math" w:cs="Times New Roman"/>
                      <w:sz w:val="24"/>
                      <w:szCs w:val="24"/>
                      <w:lang w:eastAsia="zh-CN"/>
                    </w:rPr>
                  </m:ctrlPr>
                </m:accPr>
                <m:e>
                  <m:sSub>
                    <m:sSubPr>
                      <m:ctrlPr>
                        <w:rPr>
                          <w:rFonts w:ascii="Cambria Math" w:eastAsia="等线" w:hAnsi="Cambria Math" w:cs="Times New Roman"/>
                          <w:i/>
                          <w:sz w:val="24"/>
                          <w:szCs w:val="24"/>
                          <w:lang w:eastAsia="zh-CN"/>
                        </w:rPr>
                      </m:ctrlPr>
                    </m:sSubPr>
                    <m:e>
                      <m:acc>
                        <m:accPr>
                          <m:chr m:val="̃"/>
                          <m:ctrlPr>
                            <w:rPr>
                              <w:rFonts w:ascii="Cambria Math" w:eastAsia="等线" w:hAnsi="Cambria Math" w:cs="Times New Roman"/>
                              <w:sz w:val="24"/>
                              <w:szCs w:val="24"/>
                              <w:lang w:eastAsia="zh-CN"/>
                            </w:rPr>
                          </m:ctrlPr>
                        </m:accPr>
                        <m:e>
                          <m:r>
                            <w:rPr>
                              <w:rFonts w:ascii="Cambria Math" w:eastAsia="等线" w:hAnsi="Cambria Math" w:cs="Times New Roman"/>
                              <w:sz w:val="24"/>
                              <w:szCs w:val="24"/>
                              <w:lang w:eastAsia="zh-CN"/>
                            </w:rPr>
                            <m:t>f</m:t>
                          </m:r>
                        </m:e>
                      </m:acc>
                      <m:ctrlPr>
                        <w:rPr>
                          <w:rFonts w:ascii="Cambria Math" w:eastAsia="等线" w:hAnsi="Cambria Math" w:cs="Times New Roman"/>
                          <w:sz w:val="24"/>
                          <w:szCs w:val="24"/>
                          <w:lang w:eastAsia="zh-CN"/>
                        </w:rPr>
                      </m:ctrlPr>
                    </m:e>
                    <m:sub>
                      <m:r>
                        <w:rPr>
                          <w:rFonts w:ascii="Cambria Math" w:eastAsia="等线" w:hAnsi="Cambria Math" w:cs="Times New Roman"/>
                          <w:sz w:val="24"/>
                          <w:szCs w:val="24"/>
                          <w:lang w:eastAsia="zh-CN"/>
                        </w:rPr>
                        <m:t>j,ALE</m:t>
                      </m:r>
                    </m:sub>
                  </m:sSub>
                </m:e>
              </m:acc>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x</m:t>
                  </m:r>
                </m:e>
              </m:d>
              <m:r>
                <w:rPr>
                  <w:rFonts w:ascii="Cambria Math" w:eastAsia="等线" w:hAnsi="Cambria Math" w:cs="Times New Roman"/>
                  <w:sz w:val="24"/>
                  <w:szCs w:val="24"/>
                  <w:lang w:eastAsia="zh-CN"/>
                </w:rPr>
                <m:t>=</m:t>
              </m:r>
              <m:nary>
                <m:naryPr>
                  <m:chr m:val="∑"/>
                  <m:ctrlPr>
                    <w:rPr>
                      <w:rFonts w:ascii="Cambria Math" w:eastAsia="等线" w:hAnsi="Cambria Math" w:cs="Times New Roman"/>
                      <w:sz w:val="24"/>
                      <w:szCs w:val="24"/>
                      <w:lang w:eastAsia="zh-CN"/>
                    </w:rPr>
                  </m:ctrlPr>
                </m:naryPr>
                <m:sub>
                  <m:r>
                    <w:rPr>
                      <w:rFonts w:ascii="Cambria Math" w:eastAsia="等线" w:hAnsi="Cambria Math" w:cs="Times New Roman"/>
                      <w:sz w:val="24"/>
                      <w:szCs w:val="24"/>
                      <w:lang w:eastAsia="zh-CN"/>
                    </w:rPr>
                    <m:t>k=1</m:t>
                  </m:r>
                  <m:ctrlPr>
                    <w:rPr>
                      <w:rFonts w:ascii="Cambria Math" w:eastAsia="等线" w:hAnsi="Cambria Math" w:cs="Times New Roman"/>
                      <w:i/>
                      <w:sz w:val="24"/>
                      <w:szCs w:val="24"/>
                      <w:lang w:eastAsia="zh-CN"/>
                    </w:rPr>
                  </m:ctrlPr>
                </m:sub>
                <m:sup>
                  <m:sSub>
                    <m:sSubPr>
                      <m:ctrlPr>
                        <w:rPr>
                          <w:rFonts w:ascii="Cambria Math" w:eastAsia="等线" w:hAnsi="Cambria Math" w:cs="Times New Roman"/>
                          <w:i/>
                          <w:sz w:val="24"/>
                          <w:szCs w:val="24"/>
                          <w:lang w:eastAsia="zh-CN"/>
                        </w:rPr>
                      </m:ctrlPr>
                    </m:sSubPr>
                    <m:e>
                      <m:r>
                        <w:rPr>
                          <w:rFonts w:ascii="Cambria Math" w:eastAsia="等线" w:hAnsi="Cambria Math" w:cs="Times New Roman"/>
                          <w:sz w:val="24"/>
                          <w:szCs w:val="24"/>
                          <w:lang w:eastAsia="zh-CN"/>
                        </w:rPr>
                        <m:t>k</m:t>
                      </m:r>
                    </m:e>
                    <m:sub>
                      <m:r>
                        <w:rPr>
                          <w:rFonts w:ascii="Cambria Math" w:eastAsia="等线" w:hAnsi="Cambria Math" w:cs="Times New Roman"/>
                          <w:sz w:val="24"/>
                          <w:szCs w:val="24"/>
                          <w:lang w:eastAsia="zh-CN"/>
                        </w:rPr>
                        <m:t>j</m:t>
                      </m:r>
                    </m:sub>
                  </m:sSub>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x</m:t>
                      </m:r>
                    </m:e>
                  </m:d>
                  <m:ctrlPr>
                    <w:rPr>
                      <w:rFonts w:ascii="Cambria Math" w:eastAsia="等线" w:hAnsi="Cambria Math" w:cs="Times New Roman"/>
                      <w:i/>
                      <w:sz w:val="24"/>
                      <w:szCs w:val="24"/>
                      <w:lang w:eastAsia="zh-CN"/>
                    </w:rPr>
                  </m:ctrlPr>
                </m:sup>
                <m:e>
                  <m:f>
                    <m:fPr>
                      <m:ctrlPr>
                        <w:rPr>
                          <w:rFonts w:ascii="Cambria Math" w:eastAsia="等线" w:hAnsi="Cambria Math" w:cs="Times New Roman"/>
                          <w:sz w:val="24"/>
                          <w:szCs w:val="24"/>
                          <w:lang w:eastAsia="zh-CN"/>
                        </w:rPr>
                      </m:ctrlPr>
                    </m:fPr>
                    <m:num>
                      <m:r>
                        <w:rPr>
                          <w:rFonts w:ascii="Cambria Math" w:eastAsia="等线" w:hAnsi="Cambria Math" w:cs="Times New Roman"/>
                          <w:sz w:val="24"/>
                          <w:szCs w:val="24"/>
                          <w:lang w:eastAsia="zh-CN"/>
                        </w:rPr>
                        <m:t>1</m:t>
                      </m:r>
                      <m:ctrlPr>
                        <w:rPr>
                          <w:rFonts w:ascii="Cambria Math" w:eastAsia="等线" w:hAnsi="Cambria Math" w:cs="Times New Roman"/>
                          <w:i/>
                          <w:sz w:val="24"/>
                          <w:szCs w:val="24"/>
                          <w:lang w:eastAsia="zh-CN"/>
                        </w:rPr>
                      </m:ctrlPr>
                    </m:num>
                    <m:den>
                      <m:sSub>
                        <m:sSubPr>
                          <m:ctrlPr>
                            <w:rPr>
                              <w:rFonts w:ascii="Cambria Math" w:eastAsia="等线" w:hAnsi="Cambria Math" w:cs="Times New Roman"/>
                              <w:i/>
                              <w:sz w:val="24"/>
                              <w:szCs w:val="24"/>
                              <w:lang w:eastAsia="zh-CN"/>
                            </w:rPr>
                          </m:ctrlPr>
                        </m:sSubPr>
                        <m:e>
                          <m:r>
                            <w:rPr>
                              <w:rFonts w:ascii="Cambria Math" w:eastAsia="等线" w:hAnsi="Cambria Math" w:cs="Times New Roman"/>
                              <w:sz w:val="24"/>
                              <w:szCs w:val="24"/>
                              <w:lang w:eastAsia="zh-CN"/>
                            </w:rPr>
                            <m:t>n</m:t>
                          </m:r>
                        </m:e>
                        <m:sub>
                          <m:r>
                            <w:rPr>
                              <w:rFonts w:ascii="Cambria Math" w:eastAsia="等线" w:hAnsi="Cambria Math" w:cs="Times New Roman"/>
                              <w:sz w:val="24"/>
                              <w:szCs w:val="24"/>
                              <w:lang w:eastAsia="zh-CN"/>
                            </w:rPr>
                            <m:t>j</m:t>
                          </m:r>
                        </m:sub>
                      </m:sSub>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k</m:t>
                          </m:r>
                        </m:e>
                      </m:d>
                      <m:ctrlPr>
                        <w:rPr>
                          <w:rFonts w:ascii="Cambria Math" w:eastAsia="等线" w:hAnsi="Cambria Math" w:cs="Times New Roman"/>
                          <w:i/>
                          <w:sz w:val="24"/>
                          <w:szCs w:val="24"/>
                          <w:lang w:eastAsia="zh-CN"/>
                        </w:rPr>
                      </m:ctrlPr>
                    </m:den>
                  </m:f>
                  <m:ctrlPr>
                    <w:rPr>
                      <w:rFonts w:ascii="Cambria Math" w:eastAsia="等线" w:hAnsi="Cambria Math" w:cs="Times New Roman"/>
                      <w:i/>
                      <w:sz w:val="24"/>
                      <w:szCs w:val="24"/>
                      <w:lang w:eastAsia="zh-CN"/>
                    </w:rPr>
                  </m:ctrlPr>
                </m:e>
              </m:nary>
              <m:nary>
                <m:naryPr>
                  <m:chr m:val="∑"/>
                  <m:supHide m:val="1"/>
                  <m:ctrlPr>
                    <w:rPr>
                      <w:rFonts w:ascii="Cambria Math" w:eastAsia="等线" w:hAnsi="Cambria Math" w:cs="Times New Roman"/>
                      <w:sz w:val="24"/>
                      <w:szCs w:val="24"/>
                      <w:lang w:eastAsia="zh-CN"/>
                    </w:rPr>
                  </m:ctrlPr>
                </m:naryPr>
                <m:sub>
                  <m:r>
                    <w:rPr>
                      <w:rFonts w:ascii="Cambria Math" w:eastAsia="等线" w:hAnsi="Cambria Math" w:cs="Times New Roman"/>
                      <w:sz w:val="24"/>
                      <w:szCs w:val="24"/>
                      <w:lang w:eastAsia="zh-CN"/>
                    </w:rPr>
                    <m:t>i:</m:t>
                  </m:r>
                  <m:sSubSup>
                    <m:sSubSupPr>
                      <m:ctrlPr>
                        <w:rPr>
                          <w:rFonts w:ascii="Cambria Math" w:eastAsia="等线" w:hAnsi="Cambria Math" w:cs="Times New Roman"/>
                          <w:i/>
                          <w:sz w:val="24"/>
                          <w:szCs w:val="24"/>
                          <w:lang w:eastAsia="zh-CN"/>
                        </w:rPr>
                      </m:ctrlPr>
                    </m:sSubSupPr>
                    <m:e>
                      <m:r>
                        <w:rPr>
                          <w:rFonts w:ascii="Cambria Math" w:eastAsia="等线" w:hAnsi="Cambria Math" w:cs="Times New Roman"/>
                          <w:sz w:val="24"/>
                          <w:szCs w:val="24"/>
                          <w:lang w:eastAsia="zh-CN"/>
                        </w:rPr>
                        <m:t>x</m:t>
                      </m:r>
                    </m:e>
                    <m:sub>
                      <m:r>
                        <w:rPr>
                          <w:rFonts w:ascii="Cambria Math" w:eastAsia="等线" w:hAnsi="Cambria Math" w:cs="Times New Roman"/>
                          <w:sz w:val="24"/>
                          <w:szCs w:val="24"/>
                          <w:lang w:eastAsia="zh-CN"/>
                        </w:rPr>
                        <m:t>j</m:t>
                      </m:r>
                    </m:sub>
                    <m:sup>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i</m:t>
                          </m:r>
                        </m:e>
                      </m:d>
                    </m:sup>
                  </m:sSubSup>
                  <m:r>
                    <m:rPr>
                      <m:sty m:val="p"/>
                    </m:rPr>
                    <w:rPr>
                      <w:rFonts w:ascii="Cambria Math" w:eastAsia="等线" w:hAnsi="Cambria Math" w:cs="Times New Roman" w:hint="eastAsia"/>
                      <w:sz w:val="24"/>
                      <w:szCs w:val="24"/>
                      <w:lang w:eastAsia="zh-CN"/>
                    </w:rPr>
                    <m:t>∈</m:t>
                  </m:r>
                  <m:sSub>
                    <m:sSubPr>
                      <m:ctrlPr>
                        <w:rPr>
                          <w:rFonts w:ascii="Cambria Math" w:eastAsia="等线" w:hAnsi="Cambria Math" w:cs="Times New Roman"/>
                          <w:i/>
                          <w:sz w:val="24"/>
                          <w:szCs w:val="24"/>
                          <w:lang w:eastAsia="zh-CN"/>
                        </w:rPr>
                      </m:ctrlPr>
                    </m:sSubPr>
                    <m:e>
                      <m:r>
                        <w:rPr>
                          <w:rFonts w:ascii="Cambria Math" w:eastAsia="等线" w:hAnsi="Cambria Math" w:cs="Times New Roman"/>
                          <w:sz w:val="24"/>
                          <w:szCs w:val="24"/>
                          <w:lang w:eastAsia="zh-CN"/>
                        </w:rPr>
                        <m:t>N</m:t>
                      </m:r>
                      <m:ctrlPr>
                        <w:rPr>
                          <w:rFonts w:ascii="Cambria Math" w:eastAsia="等线" w:hAnsi="Cambria Math" w:cs="Times New Roman"/>
                          <w:sz w:val="24"/>
                          <w:szCs w:val="24"/>
                          <w:lang w:eastAsia="zh-CN"/>
                        </w:rPr>
                      </m:ctrlPr>
                    </m:e>
                    <m:sub>
                      <m:r>
                        <w:rPr>
                          <w:rFonts w:ascii="Cambria Math" w:eastAsia="等线" w:hAnsi="Cambria Math" w:cs="Times New Roman"/>
                          <w:sz w:val="24"/>
                          <w:szCs w:val="24"/>
                          <w:lang w:eastAsia="zh-CN"/>
                        </w:rPr>
                        <m:t>j</m:t>
                      </m:r>
                    </m:sub>
                  </m:sSub>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k</m:t>
                      </m:r>
                    </m:e>
                  </m:d>
                  <m:ctrlPr>
                    <w:rPr>
                      <w:rFonts w:ascii="Cambria Math" w:eastAsia="等线" w:hAnsi="Cambria Math" w:cs="Times New Roman"/>
                      <w:i/>
                      <w:sz w:val="24"/>
                      <w:szCs w:val="24"/>
                      <w:lang w:eastAsia="zh-CN"/>
                    </w:rPr>
                  </m:ctrlPr>
                </m:sub>
                <m:sup>
                  <m:ctrlPr>
                    <w:rPr>
                      <w:rFonts w:ascii="Cambria Math" w:eastAsia="等线" w:hAnsi="Cambria Math" w:cs="Times New Roman"/>
                      <w:i/>
                      <w:sz w:val="24"/>
                      <w:szCs w:val="24"/>
                      <w:lang w:eastAsia="zh-CN"/>
                    </w:rPr>
                  </m:ctrlPr>
                </m:sup>
                <m:e>
                  <m:d>
                    <m:dPr>
                      <m:begChr m:val="["/>
                      <m:endChr m:val="]"/>
                      <m:ctrlPr>
                        <w:rPr>
                          <w:rFonts w:ascii="Cambria Math" w:eastAsia="等线" w:hAnsi="Cambria Math" w:cs="Times New Roman"/>
                          <w:sz w:val="24"/>
                          <w:szCs w:val="24"/>
                          <w:lang w:eastAsia="zh-CN"/>
                        </w:rPr>
                      </m:ctrlPr>
                    </m:dPr>
                    <m:e>
                      <m:r>
                        <w:rPr>
                          <w:rFonts w:ascii="Cambria Math" w:eastAsia="等线" w:hAnsi="Cambria Math" w:cs="Times New Roman"/>
                          <w:sz w:val="24"/>
                          <w:szCs w:val="24"/>
                          <w:lang w:eastAsia="zh-CN"/>
                        </w:rPr>
                        <m:t>f</m:t>
                      </m:r>
                      <m:d>
                        <m:dPr>
                          <m:ctrlPr>
                            <w:rPr>
                              <w:rFonts w:ascii="Cambria Math" w:eastAsia="等线" w:hAnsi="Cambria Math" w:cs="Times New Roman"/>
                              <w:i/>
                              <w:sz w:val="24"/>
                              <w:szCs w:val="24"/>
                              <w:lang w:eastAsia="zh-CN"/>
                            </w:rPr>
                          </m:ctrlPr>
                        </m:dPr>
                        <m:e>
                          <m:sSub>
                            <m:sSubPr>
                              <m:ctrlPr>
                                <w:rPr>
                                  <w:rFonts w:ascii="Cambria Math" w:eastAsia="等线" w:hAnsi="Cambria Math" w:cs="Times New Roman"/>
                                  <w:i/>
                                  <w:sz w:val="24"/>
                                  <w:szCs w:val="24"/>
                                  <w:lang w:eastAsia="zh-CN"/>
                                </w:rPr>
                              </m:ctrlPr>
                            </m:sSubPr>
                            <m:e>
                              <m:r>
                                <w:rPr>
                                  <w:rFonts w:ascii="Cambria Math" w:eastAsia="等线" w:hAnsi="Cambria Math" w:cs="Times New Roman"/>
                                  <w:sz w:val="24"/>
                                  <w:szCs w:val="24"/>
                                  <w:lang w:eastAsia="zh-CN"/>
                                </w:rPr>
                                <m:t>z</m:t>
                              </m:r>
                            </m:e>
                            <m:sub>
                              <m:r>
                                <w:rPr>
                                  <w:rFonts w:ascii="Cambria Math" w:eastAsia="等线" w:hAnsi="Cambria Math" w:cs="Times New Roman"/>
                                  <w:sz w:val="24"/>
                                  <w:szCs w:val="24"/>
                                  <w:lang w:eastAsia="zh-CN"/>
                                </w:rPr>
                                <m:t>k,j</m:t>
                              </m:r>
                            </m:sub>
                          </m:sSub>
                          <m:r>
                            <w:rPr>
                              <w:rFonts w:ascii="Cambria Math" w:eastAsia="等线" w:hAnsi="Cambria Math" w:cs="Times New Roman"/>
                              <w:sz w:val="24"/>
                              <w:szCs w:val="24"/>
                              <w:lang w:eastAsia="zh-CN"/>
                            </w:rPr>
                            <m:t>,</m:t>
                          </m:r>
                          <m:sSubSup>
                            <m:sSubSupPr>
                              <m:ctrlPr>
                                <w:rPr>
                                  <w:rFonts w:ascii="Cambria Math" w:eastAsia="等线" w:hAnsi="Cambria Math" w:cs="Times New Roman"/>
                                  <w:i/>
                                  <w:sz w:val="24"/>
                                  <w:szCs w:val="24"/>
                                  <w:lang w:eastAsia="zh-CN"/>
                                </w:rPr>
                              </m:ctrlPr>
                            </m:sSubSupPr>
                            <m:e>
                              <m:r>
                                <w:rPr>
                                  <w:rFonts w:ascii="Cambria Math" w:eastAsia="等线" w:hAnsi="Cambria Math" w:cs="Times New Roman"/>
                                  <w:sz w:val="24"/>
                                  <w:szCs w:val="24"/>
                                  <w:lang w:eastAsia="zh-CN"/>
                                </w:rPr>
                                <m:t>x</m:t>
                              </m:r>
                            </m:e>
                            <m:sub>
                              <m:r>
                                <w:rPr>
                                  <w:rFonts w:ascii="Cambria Math" w:eastAsia="等线" w:hAnsi="Cambria Math" w:cs="Times New Roman"/>
                                  <w:sz w:val="24"/>
                                  <w:szCs w:val="24"/>
                                  <w:lang w:eastAsia="zh-CN"/>
                                </w:rPr>
                                <m:t>\j</m:t>
                              </m:r>
                            </m:sub>
                            <m:sup>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i</m:t>
                                  </m:r>
                                </m:e>
                              </m:d>
                            </m:sup>
                          </m:sSubSup>
                        </m:e>
                      </m:d>
                      <m:r>
                        <w:rPr>
                          <w:rFonts w:ascii="Cambria Math" w:eastAsia="等线" w:hAnsi="Cambria Math" w:cs="Times New Roman"/>
                          <w:sz w:val="24"/>
                          <w:szCs w:val="24"/>
                          <w:lang w:eastAsia="zh-CN"/>
                        </w:rPr>
                        <m:t>-f</m:t>
                      </m:r>
                      <m:d>
                        <m:dPr>
                          <m:ctrlPr>
                            <w:rPr>
                              <w:rFonts w:ascii="Cambria Math" w:eastAsia="等线" w:hAnsi="Cambria Math" w:cs="Times New Roman"/>
                              <w:i/>
                              <w:sz w:val="24"/>
                              <w:szCs w:val="24"/>
                              <w:lang w:eastAsia="zh-CN"/>
                            </w:rPr>
                          </m:ctrlPr>
                        </m:dPr>
                        <m:e>
                          <m:sSub>
                            <m:sSubPr>
                              <m:ctrlPr>
                                <w:rPr>
                                  <w:rFonts w:ascii="Cambria Math" w:eastAsia="等线" w:hAnsi="Cambria Math" w:cs="Times New Roman"/>
                                  <w:i/>
                                  <w:sz w:val="24"/>
                                  <w:szCs w:val="24"/>
                                  <w:lang w:eastAsia="zh-CN"/>
                                </w:rPr>
                              </m:ctrlPr>
                            </m:sSubPr>
                            <m:e>
                              <m:r>
                                <w:rPr>
                                  <w:rFonts w:ascii="Cambria Math" w:eastAsia="等线" w:hAnsi="Cambria Math" w:cs="Times New Roman"/>
                                  <w:sz w:val="24"/>
                                  <w:szCs w:val="24"/>
                                  <w:lang w:eastAsia="zh-CN"/>
                                </w:rPr>
                                <m:t>z</m:t>
                              </m:r>
                            </m:e>
                            <m:sub>
                              <m:r>
                                <w:rPr>
                                  <w:rFonts w:ascii="Cambria Math" w:eastAsia="等线" w:hAnsi="Cambria Math" w:cs="Times New Roman"/>
                                  <w:sz w:val="24"/>
                                  <w:szCs w:val="24"/>
                                  <w:lang w:eastAsia="zh-CN"/>
                                </w:rPr>
                                <m:t>k-1,j</m:t>
                              </m:r>
                            </m:sub>
                          </m:sSub>
                          <m:r>
                            <w:rPr>
                              <w:rFonts w:ascii="Cambria Math" w:eastAsia="等线" w:hAnsi="Cambria Math" w:cs="Times New Roman"/>
                              <w:sz w:val="24"/>
                              <w:szCs w:val="24"/>
                              <w:lang w:eastAsia="zh-CN"/>
                            </w:rPr>
                            <m:t>,</m:t>
                          </m:r>
                          <m:sSubSup>
                            <m:sSubSupPr>
                              <m:ctrlPr>
                                <w:rPr>
                                  <w:rFonts w:ascii="Cambria Math" w:eastAsia="等线" w:hAnsi="Cambria Math" w:cs="Times New Roman"/>
                                  <w:i/>
                                  <w:sz w:val="24"/>
                                  <w:szCs w:val="24"/>
                                  <w:lang w:eastAsia="zh-CN"/>
                                </w:rPr>
                              </m:ctrlPr>
                            </m:sSubSupPr>
                            <m:e>
                              <m:r>
                                <w:rPr>
                                  <w:rFonts w:ascii="Cambria Math" w:eastAsia="等线" w:hAnsi="Cambria Math" w:cs="Times New Roman"/>
                                  <w:sz w:val="24"/>
                                  <w:szCs w:val="24"/>
                                  <w:lang w:eastAsia="zh-CN"/>
                                </w:rPr>
                                <m:t>x</m:t>
                              </m:r>
                            </m:e>
                            <m:sub>
                              <m:r>
                                <w:rPr>
                                  <w:rFonts w:ascii="Cambria Math" w:eastAsia="等线" w:hAnsi="Cambria Math" w:cs="Times New Roman"/>
                                  <w:sz w:val="24"/>
                                  <w:szCs w:val="24"/>
                                  <w:lang w:eastAsia="zh-CN"/>
                                </w:rPr>
                                <m:t>\j</m:t>
                              </m:r>
                            </m:sub>
                            <m:sup>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i</m:t>
                                  </m:r>
                                </m:e>
                              </m:d>
                            </m:sup>
                          </m:sSubSup>
                        </m:e>
                      </m:d>
                      <m:ctrlPr>
                        <w:rPr>
                          <w:rFonts w:ascii="Cambria Math" w:eastAsia="等线" w:hAnsi="Cambria Math" w:cs="Times New Roman"/>
                          <w:i/>
                          <w:sz w:val="24"/>
                          <w:szCs w:val="24"/>
                          <w:lang w:eastAsia="zh-CN"/>
                        </w:rPr>
                      </m:ctrlPr>
                    </m:e>
                  </m:d>
                  <m:ctrlPr>
                    <w:rPr>
                      <w:rFonts w:ascii="Cambria Math" w:eastAsia="等线" w:hAnsi="Cambria Math" w:cs="Times New Roman"/>
                      <w:i/>
                      <w:sz w:val="24"/>
                      <w:szCs w:val="24"/>
                      <w:lang w:eastAsia="zh-CN"/>
                    </w:rPr>
                  </m:ctrlPr>
                </m:e>
              </m:nary>
              <m:r>
                <w:rPr>
                  <w:rFonts w:ascii="Cambria Math" w:eastAsia="等线" w:hAnsi="Cambria Math" w:cs="Times New Roman"/>
                  <w:sz w:val="24"/>
                  <w:szCs w:val="24"/>
                  <w:lang w:eastAsia="zh-CN"/>
                </w:rPr>
                <m:t>#</m:t>
              </m:r>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5</m:t>
                  </m:r>
                </m:e>
              </m:d>
            </m:e>
          </m:eqArr>
        </m:oMath>
      </m:oMathPara>
    </w:p>
    <w:p w14:paraId="1CB70239" w14:textId="0724F16B" w:rsidR="00030B4C" w:rsidRPr="00721AE3" w:rsidRDefault="004B0E80"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Where the feature space is divided into</w:t>
      </w:r>
      <w:r w:rsidRPr="00721AE3">
        <w:rPr>
          <w:rFonts w:ascii="Garamond" w:eastAsia="等线" w:hAnsi="Garamond" w:cs="Times New Roman"/>
          <w:sz w:val="24"/>
          <w:szCs w:val="24"/>
          <w:lang w:eastAsia="zh-CN"/>
        </w:rPr>
        <w:t xml:space="preserve"> </w:t>
      </w:r>
      <m:oMath>
        <m:r>
          <w:rPr>
            <w:rFonts w:ascii="Cambria Math" w:eastAsia="等线" w:hAnsi="Cambria Math" w:cs="Times New Roman"/>
            <w:sz w:val="24"/>
            <w:szCs w:val="24"/>
            <w:lang w:eastAsia="zh-CN"/>
          </w:rPr>
          <m:t>k</m:t>
        </m:r>
      </m:oMath>
      <w:r w:rsidRPr="00721AE3">
        <w:rPr>
          <w:rFonts w:ascii="Garamond" w:eastAsia="等线" w:hAnsi="Garamond" w:cs="Times New Roman"/>
          <w:sz w:val="24"/>
          <w:szCs w:val="24"/>
          <w:lang w:eastAsia="zh-CN"/>
        </w:rPr>
        <w:t xml:space="preserve"> </w:t>
      </w:r>
      <w:r w:rsidRPr="00721AE3">
        <w:rPr>
          <w:rFonts w:ascii="Times New Roman" w:hAnsi="Times New Roman" w:cs="Times New Roman"/>
          <w:sz w:val="24"/>
          <w:szCs w:val="24"/>
        </w:rPr>
        <w:t>intervals</w:t>
      </w:r>
      <w:r w:rsidR="00814083" w:rsidRPr="00721AE3">
        <w:rPr>
          <w:rFonts w:ascii="Times New Roman" w:hAnsi="Times New Roman" w:cs="Times New Roman"/>
          <w:sz w:val="24"/>
          <w:szCs w:val="24"/>
        </w:rPr>
        <w:t>,</w:t>
      </w:r>
      <w:r w:rsidR="00814083" w:rsidRPr="00721AE3">
        <w:rPr>
          <w:rFonts w:ascii="Garamond" w:eastAsia="等线" w:hAnsi="Garamond" w:cs="Times New Roman"/>
          <w:sz w:val="24"/>
          <w:szCs w:val="24"/>
          <w:lang w:eastAsia="zh-CN"/>
        </w:rPr>
        <w:t xml:space="preserve"> </w:t>
      </w:r>
      <m:oMath>
        <m:sSub>
          <m:sSubPr>
            <m:ctrlPr>
              <w:rPr>
                <w:rFonts w:ascii="Cambria Math" w:eastAsia="等线" w:hAnsi="Cambria Math" w:cs="Times New Roman"/>
                <w:i/>
                <w:sz w:val="24"/>
                <w:szCs w:val="24"/>
                <w:lang w:eastAsia="zh-CN"/>
              </w:rPr>
            </m:ctrlPr>
          </m:sSubPr>
          <m:e>
            <m:r>
              <w:rPr>
                <w:rFonts w:ascii="Cambria Math" w:eastAsia="等线" w:hAnsi="Cambria Math" w:cs="Times New Roman"/>
                <w:sz w:val="24"/>
                <w:szCs w:val="24"/>
                <w:lang w:eastAsia="zh-CN"/>
              </w:rPr>
              <m:t>N</m:t>
            </m:r>
            <m:ctrlPr>
              <w:rPr>
                <w:rFonts w:ascii="Cambria Math" w:eastAsia="等线" w:hAnsi="Cambria Math" w:cs="Times New Roman"/>
                <w:sz w:val="24"/>
                <w:szCs w:val="24"/>
                <w:lang w:eastAsia="zh-CN"/>
              </w:rPr>
            </m:ctrlPr>
          </m:e>
          <m:sub>
            <m:r>
              <w:rPr>
                <w:rFonts w:ascii="Cambria Math" w:eastAsia="等线" w:hAnsi="Cambria Math" w:cs="Times New Roman"/>
                <w:sz w:val="24"/>
                <w:szCs w:val="24"/>
                <w:lang w:eastAsia="zh-CN"/>
              </w:rPr>
              <m:t>j</m:t>
            </m:r>
          </m:sub>
        </m:sSub>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k</m:t>
            </m:r>
          </m:e>
        </m:d>
      </m:oMath>
      <w:r w:rsidR="00274BB2" w:rsidRPr="00721AE3">
        <w:rPr>
          <w:rFonts w:ascii="Times New Roman" w:hAnsi="Times New Roman" w:cs="Times New Roman"/>
          <w:sz w:val="24"/>
          <w:szCs w:val="24"/>
        </w:rPr>
        <w:t xml:space="preserve"> represents the </w:t>
      </w:r>
      <m:oMath>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th</m:t>
            </m:r>
          </m:sup>
        </m:sSup>
      </m:oMath>
      <w:r w:rsidR="00274BB2" w:rsidRPr="00721AE3">
        <w:rPr>
          <w:rFonts w:ascii="Times New Roman" w:hAnsi="Times New Roman" w:cs="Times New Roman"/>
          <w:sz w:val="24"/>
          <w:szCs w:val="24"/>
        </w:rPr>
        <w:t xml:space="preserve"> interval of the feature space, </w:t>
      </w:r>
      <m:oMath>
        <m:sSub>
          <m:sSubPr>
            <m:ctrlPr>
              <w:rPr>
                <w:rFonts w:ascii="Cambria Math" w:eastAsia="等线" w:hAnsi="Cambria Math" w:cs="Times New Roman"/>
                <w:i/>
                <w:sz w:val="24"/>
                <w:szCs w:val="24"/>
                <w:lang w:eastAsia="zh-CN"/>
              </w:rPr>
            </m:ctrlPr>
          </m:sSubPr>
          <m:e>
            <m:r>
              <w:rPr>
                <w:rFonts w:ascii="Cambria Math" w:eastAsia="等线" w:hAnsi="Cambria Math" w:cs="Times New Roman"/>
                <w:sz w:val="24"/>
                <w:szCs w:val="24"/>
                <w:lang w:eastAsia="zh-CN"/>
              </w:rPr>
              <m:t>n</m:t>
            </m:r>
          </m:e>
          <m:sub>
            <m:r>
              <w:rPr>
                <w:rFonts w:ascii="Cambria Math" w:eastAsia="等线" w:hAnsi="Cambria Math" w:cs="Times New Roman"/>
                <w:sz w:val="24"/>
                <w:szCs w:val="24"/>
                <w:lang w:eastAsia="zh-CN"/>
              </w:rPr>
              <m:t>j</m:t>
            </m:r>
          </m:sub>
        </m:sSub>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k</m:t>
            </m:r>
          </m:e>
        </m:d>
      </m:oMath>
      <w:r w:rsidR="00274BB2" w:rsidRPr="00721AE3">
        <w:rPr>
          <w:rFonts w:ascii="Times New Roman" w:hAnsi="Times New Roman" w:cs="Times New Roman"/>
          <w:sz w:val="24"/>
          <w:szCs w:val="24"/>
        </w:rPr>
        <w:t xml:space="preserve"> is the number of observations </w:t>
      </w:r>
      <w:r w:rsidR="00FB5852" w:rsidRPr="00721AE3">
        <w:rPr>
          <w:rFonts w:ascii="Times New Roman" w:hAnsi="Times New Roman" w:cs="Times New Roman"/>
          <w:sz w:val="24"/>
          <w:szCs w:val="24"/>
        </w:rPr>
        <w:t xml:space="preserve">in the interval </w:t>
      </w:r>
      <m:oMath>
        <m:sSub>
          <m:sSubPr>
            <m:ctrlPr>
              <w:rPr>
                <w:rFonts w:ascii="Cambria Math" w:eastAsia="等线" w:hAnsi="Cambria Math" w:cs="Times New Roman"/>
                <w:i/>
                <w:sz w:val="24"/>
                <w:szCs w:val="24"/>
                <w:lang w:eastAsia="zh-CN"/>
              </w:rPr>
            </m:ctrlPr>
          </m:sSubPr>
          <m:e>
            <m:r>
              <w:rPr>
                <w:rFonts w:ascii="Cambria Math" w:eastAsia="等线" w:hAnsi="Cambria Math" w:cs="Times New Roman"/>
                <w:sz w:val="24"/>
                <w:szCs w:val="24"/>
                <w:lang w:eastAsia="zh-CN"/>
              </w:rPr>
              <m:t>N</m:t>
            </m:r>
            <m:ctrlPr>
              <w:rPr>
                <w:rFonts w:ascii="Cambria Math" w:eastAsia="等线" w:hAnsi="Cambria Math" w:cs="Times New Roman"/>
                <w:sz w:val="24"/>
                <w:szCs w:val="24"/>
                <w:lang w:eastAsia="zh-CN"/>
              </w:rPr>
            </m:ctrlPr>
          </m:e>
          <m:sub>
            <m:r>
              <w:rPr>
                <w:rFonts w:ascii="Cambria Math" w:eastAsia="等线" w:hAnsi="Cambria Math" w:cs="Times New Roman"/>
                <w:sz w:val="24"/>
                <w:szCs w:val="24"/>
                <w:lang w:eastAsia="zh-CN"/>
              </w:rPr>
              <m:t>j</m:t>
            </m:r>
          </m:sub>
        </m:sSub>
        <m:d>
          <m:dPr>
            <m:ctrlPr>
              <w:rPr>
                <w:rFonts w:ascii="Cambria Math" w:eastAsia="等线" w:hAnsi="Cambria Math" w:cs="Times New Roman"/>
                <w:i/>
                <w:sz w:val="24"/>
                <w:szCs w:val="24"/>
                <w:lang w:eastAsia="zh-CN"/>
              </w:rPr>
            </m:ctrlPr>
          </m:dPr>
          <m:e>
            <m:r>
              <w:rPr>
                <w:rFonts w:ascii="Cambria Math" w:eastAsia="等线" w:hAnsi="Cambria Math" w:cs="Times New Roman"/>
                <w:sz w:val="24"/>
                <w:szCs w:val="24"/>
                <w:lang w:eastAsia="zh-CN"/>
              </w:rPr>
              <m:t>k</m:t>
            </m:r>
          </m:e>
        </m:d>
      </m:oMath>
      <w:r w:rsidR="00274BB2" w:rsidRPr="00721AE3">
        <w:rPr>
          <w:rFonts w:ascii="Times New Roman" w:hAnsi="Times New Roman" w:cs="Times New Roman"/>
          <w:sz w:val="24"/>
          <w:szCs w:val="24"/>
        </w:rPr>
        <w:t>,</w:t>
      </w:r>
      <w:r w:rsidR="00A814AC" w:rsidRPr="00721AE3">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k</m:t>
            </m:r>
          </m:sub>
        </m:sSub>
      </m:oMath>
      <w:r w:rsidR="004C2780" w:rsidRPr="00721AE3">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k-1</m:t>
            </m:r>
          </m:sub>
        </m:sSub>
      </m:oMath>
      <w:r w:rsidR="004C2780" w:rsidRPr="00721AE3">
        <w:rPr>
          <w:rFonts w:ascii="Times New Roman" w:hAnsi="Times New Roman" w:cs="Times New Roman"/>
          <w:sz w:val="24"/>
          <w:szCs w:val="24"/>
        </w:rPr>
        <w:t xml:space="preserve"> represent the upper and lower bounds of the interval</w:t>
      </w:r>
      <w:r w:rsidR="00274BB2" w:rsidRPr="00721AE3">
        <w:rPr>
          <w:rFonts w:ascii="Times New Roman" w:hAnsi="Times New Roman" w:cs="Times New Roman"/>
          <w:sz w:val="24"/>
          <w:szCs w:val="24"/>
        </w:rPr>
        <w:t>,</w:t>
      </w:r>
      <w:r w:rsidR="002D6238" w:rsidRPr="00721AE3">
        <w:rPr>
          <w:rFonts w:ascii="Times New Roman" w:hAnsi="Times New Roman" w:cs="Times New Roman"/>
          <w:sz w:val="24"/>
          <w:szCs w:val="24"/>
        </w:rPr>
        <w:t xml:space="preserve"> and</w:t>
      </w:r>
      <w:r w:rsidR="00274BB2" w:rsidRPr="00721AE3">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x</m:t>
            </m:r>
          </m:e>
          <m:sub>
            <m:r>
              <w:rPr>
                <w:rFonts w:ascii="Cambria Math" w:hAnsi="Cambria Math" w:cs="Times New Roman"/>
                <w:sz w:val="24"/>
                <w:szCs w:val="24"/>
              </w:rPr>
              <m:t>\j</m:t>
            </m:r>
          </m:sub>
          <m:sup>
            <m:d>
              <m:dPr>
                <m:ctrlPr>
                  <w:rPr>
                    <w:rFonts w:ascii="Cambria Math" w:hAnsi="Cambria Math" w:cs="Times New Roman"/>
                    <w:i/>
                    <w:sz w:val="24"/>
                    <w:szCs w:val="24"/>
                  </w:rPr>
                </m:ctrlPr>
              </m:dPr>
              <m:e>
                <m:r>
                  <w:rPr>
                    <w:rFonts w:ascii="Cambria Math" w:hAnsi="Cambria Math" w:cs="Times New Roman"/>
                    <w:sz w:val="24"/>
                    <w:szCs w:val="24"/>
                  </w:rPr>
                  <m:t>i</m:t>
                </m:r>
              </m:e>
            </m:d>
          </m:sup>
        </m:sSubSup>
      </m:oMath>
      <w:r w:rsidR="00A814AC" w:rsidRPr="00721AE3">
        <w:rPr>
          <w:rFonts w:ascii="Times New Roman" w:hAnsi="Times New Roman" w:cs="Times New Roman"/>
          <w:sz w:val="24"/>
          <w:szCs w:val="24"/>
        </w:rPr>
        <w:t xml:space="preserve"> includes </w:t>
      </w:r>
      <w:r w:rsidR="00274BB2" w:rsidRPr="00721AE3">
        <w:rPr>
          <w:rFonts w:ascii="Times New Roman" w:hAnsi="Times New Roman" w:cs="Times New Roman"/>
          <w:sz w:val="24"/>
          <w:szCs w:val="24"/>
        </w:rPr>
        <w:t xml:space="preserve">all features except feature </w:t>
      </w:r>
      <m:oMath>
        <m:r>
          <w:rPr>
            <w:rFonts w:ascii="Cambria Math" w:hAnsi="Cambria Math" w:cs="Times New Roman"/>
            <w:sz w:val="24"/>
            <w:szCs w:val="24"/>
          </w:rPr>
          <m:t>j</m:t>
        </m:r>
      </m:oMath>
      <w:r w:rsidR="00274BB2" w:rsidRPr="00721AE3">
        <w:rPr>
          <w:rFonts w:ascii="Times New Roman" w:hAnsi="Times New Roman" w:cs="Times New Roman"/>
          <w:sz w:val="24"/>
          <w:szCs w:val="24"/>
        </w:rPr>
        <w:t xml:space="preserve"> for </w:t>
      </w:r>
      <w:r w:rsidR="00EB582A" w:rsidRPr="00721AE3">
        <w:rPr>
          <w:rFonts w:ascii="Times New Roman" w:hAnsi="Times New Roman" w:cs="Times New Roman"/>
          <w:sz w:val="24"/>
          <w:szCs w:val="24"/>
        </w:rPr>
        <w:t>observation</w:t>
      </w:r>
      <w:r w:rsidR="00274BB2" w:rsidRPr="00721AE3">
        <w:rPr>
          <w:rFonts w:ascii="Times New Roman" w:hAnsi="Times New Roman" w:cs="Times New Roman"/>
          <w:sz w:val="24"/>
          <w:szCs w:val="24"/>
        </w:rPr>
        <w:t xml:space="preserve"> </w:t>
      </w:r>
      <m:oMath>
        <m:r>
          <w:rPr>
            <w:rFonts w:ascii="Cambria Math" w:hAnsi="Cambria Math" w:cs="Times New Roman"/>
            <w:sz w:val="24"/>
            <w:szCs w:val="24"/>
          </w:rPr>
          <m:t>i</m:t>
        </m:r>
      </m:oMath>
      <w:r w:rsidR="00274BB2" w:rsidRPr="00721AE3">
        <w:rPr>
          <w:rFonts w:ascii="Times New Roman" w:hAnsi="Times New Roman" w:cs="Times New Roman"/>
          <w:sz w:val="24"/>
          <w:szCs w:val="24"/>
        </w:rPr>
        <w:t>.</w:t>
      </w:r>
    </w:p>
    <w:p w14:paraId="3DF433CE" w14:textId="4AB499E3" w:rsidR="004139D6" w:rsidRPr="00721AE3" w:rsidRDefault="004139D6" w:rsidP="00CE2308">
      <w:pPr>
        <w:pStyle w:val="a9"/>
        <w:numPr>
          <w:ilvl w:val="0"/>
          <w:numId w:val="1"/>
        </w:numPr>
        <w:spacing w:line="360" w:lineRule="auto"/>
        <w:ind w:left="426" w:hanging="426"/>
        <w:jc w:val="both"/>
        <w:rPr>
          <w:rFonts w:ascii="Times New Roman" w:hAnsi="Times New Roman" w:cs="Times New Roman"/>
          <w:b/>
          <w:bCs/>
          <w:sz w:val="24"/>
          <w:szCs w:val="24"/>
        </w:rPr>
      </w:pPr>
      <w:r w:rsidRPr="00721AE3">
        <w:rPr>
          <w:rFonts w:ascii="Times New Roman" w:hAnsi="Times New Roman" w:cs="Times New Roman"/>
          <w:b/>
          <w:bCs/>
          <w:sz w:val="24"/>
          <w:szCs w:val="24"/>
        </w:rPr>
        <w:t>Results and discussions</w:t>
      </w:r>
    </w:p>
    <w:p w14:paraId="72CA74BC" w14:textId="7AC98447" w:rsidR="004F40B9" w:rsidRPr="00721AE3" w:rsidRDefault="00FA1322" w:rsidP="00CE2308">
      <w:pPr>
        <w:pStyle w:val="a9"/>
        <w:numPr>
          <w:ilvl w:val="1"/>
          <w:numId w:val="1"/>
        </w:numPr>
        <w:spacing w:line="360" w:lineRule="auto"/>
        <w:ind w:left="426" w:hanging="426"/>
        <w:jc w:val="both"/>
        <w:rPr>
          <w:rFonts w:ascii="Times New Roman" w:hAnsi="Times New Roman" w:cs="Times New Roman"/>
          <w:b/>
          <w:bCs/>
          <w:sz w:val="24"/>
          <w:szCs w:val="24"/>
        </w:rPr>
      </w:pPr>
      <w:r w:rsidRPr="00721AE3">
        <w:rPr>
          <w:rFonts w:ascii="Times New Roman" w:hAnsi="Times New Roman" w:cs="Times New Roman"/>
          <w:b/>
          <w:bCs/>
          <w:sz w:val="24"/>
          <w:szCs w:val="24"/>
        </w:rPr>
        <w:t>Relative feature importance</w:t>
      </w:r>
    </w:p>
    <w:p w14:paraId="596D7EA6" w14:textId="1296C2C8" w:rsidR="0004799D" w:rsidRPr="00721AE3" w:rsidRDefault="0004799D"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Table </w:t>
      </w:r>
      <w:r w:rsidR="00573DF2" w:rsidRPr="00721AE3">
        <w:rPr>
          <w:rFonts w:ascii="Times New Roman" w:hAnsi="Times New Roman" w:cs="Times New Roman"/>
          <w:sz w:val="24"/>
          <w:szCs w:val="24"/>
        </w:rPr>
        <w:t>3</w:t>
      </w:r>
      <w:r w:rsidRPr="00721AE3">
        <w:rPr>
          <w:rFonts w:ascii="Times New Roman" w:hAnsi="Times New Roman" w:cs="Times New Roman"/>
          <w:sz w:val="24"/>
          <w:szCs w:val="24"/>
        </w:rPr>
        <w:t xml:space="preserve"> and Figure 2 present the relative importance of explanatory variables derived from the XGBoost model and SHAP decomposition, respectively. Together, these results provide a consistent and robust assessment of how different factors contribute to housing price formation, while also revealing the relative role of </w:t>
      </w:r>
      <w:r w:rsidR="00461CEB" w:rsidRPr="00721AE3">
        <w:rPr>
          <w:rFonts w:ascii="Times New Roman" w:hAnsi="Times New Roman" w:cs="Times New Roman"/>
          <w:sz w:val="24"/>
          <w:szCs w:val="24"/>
        </w:rPr>
        <w:t xml:space="preserve">urban </w:t>
      </w:r>
      <w:r w:rsidRPr="00721AE3">
        <w:rPr>
          <w:rFonts w:ascii="Times New Roman" w:hAnsi="Times New Roman" w:cs="Times New Roman"/>
          <w:sz w:val="24"/>
          <w:szCs w:val="24"/>
        </w:rPr>
        <w:t>amenity accessibility in shaping distance-dependent valuation patterns.</w:t>
      </w:r>
    </w:p>
    <w:p w14:paraId="2C52891D" w14:textId="22AD440D" w:rsidR="00F75033" w:rsidRPr="00721AE3" w:rsidRDefault="001C683A"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The XGBoost global importance results (Table </w:t>
      </w:r>
      <w:r w:rsidR="00573DF2" w:rsidRPr="00721AE3">
        <w:rPr>
          <w:rFonts w:ascii="Times New Roman" w:hAnsi="Times New Roman" w:cs="Times New Roman"/>
          <w:sz w:val="24"/>
          <w:szCs w:val="24"/>
        </w:rPr>
        <w:t>3</w:t>
      </w:r>
      <w:r w:rsidRPr="00721AE3">
        <w:rPr>
          <w:rFonts w:ascii="Times New Roman" w:hAnsi="Times New Roman" w:cs="Times New Roman"/>
          <w:sz w:val="24"/>
          <w:szCs w:val="24"/>
        </w:rPr>
        <w:t xml:space="preserve">) indicate that property usage variables are among the most influential predictors of housing prices, with the industrial usage category exhibiting the highest importance score. </w:t>
      </w:r>
      <w:r w:rsidR="004C4143" w:rsidRPr="00721AE3">
        <w:rPr>
          <w:rFonts w:ascii="Times New Roman" w:hAnsi="Times New Roman" w:cs="Times New Roman"/>
          <w:sz w:val="24"/>
          <w:szCs w:val="24"/>
        </w:rPr>
        <w:t>This primarily reflects systematic differences in pricing structures, floor areas, market segmentation, and functional characteristics across residential, commercial, office, and industrial properties, rather than the influence of a small number of atypical industrial transactions</w:t>
      </w:r>
      <w:r w:rsidRPr="00721AE3">
        <w:rPr>
          <w:rFonts w:ascii="Times New Roman" w:hAnsi="Times New Roman" w:cs="Times New Roman"/>
          <w:sz w:val="24"/>
          <w:szCs w:val="24"/>
        </w:rPr>
        <w:t xml:space="preserve">. In tree-based machine learning models, feature importance represents a variable's contribution to predictive accuracy rather than its causal effect on housing prices. </w:t>
      </w:r>
      <w:r w:rsidR="0025331F" w:rsidRPr="00721AE3">
        <w:rPr>
          <w:rFonts w:ascii="Times New Roman" w:hAnsi="Times New Roman" w:cs="Times New Roman"/>
          <w:sz w:val="24"/>
          <w:szCs w:val="24"/>
        </w:rPr>
        <w:t>Accordingly, the high importance of the industrial usage variable should be interpreted as reflecting broad structural differences across property market segments rather than indicating that industrial properties dominate or bias the estimation of amenity effects</w:t>
      </w:r>
      <w:r w:rsidRPr="00721AE3">
        <w:rPr>
          <w:rFonts w:ascii="Times New Roman" w:hAnsi="Times New Roman" w:cs="Times New Roman"/>
          <w:sz w:val="24"/>
          <w:szCs w:val="24"/>
        </w:rPr>
        <w:t xml:space="preserve">. By controlling for these systematic differences, the property usage variables enable the model to more accurately isolate the capitalization effects associated with amenity accessibility. </w:t>
      </w:r>
      <w:r w:rsidR="00C12899" w:rsidRPr="00721AE3">
        <w:rPr>
          <w:rFonts w:ascii="Times New Roman" w:hAnsi="Times New Roman" w:cs="Times New Roman"/>
          <w:sz w:val="24"/>
          <w:szCs w:val="24"/>
        </w:rPr>
        <w:t xml:space="preserve">Consequently, the amenity variables capture how </w:t>
      </w:r>
      <w:r w:rsidR="00C12899" w:rsidRPr="00721AE3">
        <w:rPr>
          <w:rFonts w:ascii="Times New Roman" w:hAnsi="Times New Roman" w:cs="Times New Roman"/>
          <w:sz w:val="24"/>
          <w:szCs w:val="24"/>
        </w:rPr>
        <w:lastRenderedPageBreak/>
        <w:t>accessibility premiums and disamenities vary after accounting for systematic differences in property function and market segment</w:t>
      </w:r>
      <w:r w:rsidR="00D25234" w:rsidRPr="00721AE3">
        <w:rPr>
          <w:rFonts w:ascii="Times New Roman" w:hAnsi="Times New Roman" w:cs="Times New Roman"/>
          <w:sz w:val="24"/>
          <w:szCs w:val="24"/>
        </w:rPr>
        <w:t>.</w:t>
      </w:r>
    </w:p>
    <w:p w14:paraId="724D9545" w14:textId="32F29B55" w:rsidR="00E920E3" w:rsidRPr="00721AE3" w:rsidRDefault="00974C67" w:rsidP="00CE2308">
      <w:pPr>
        <w:spacing w:line="360" w:lineRule="auto"/>
        <w:jc w:val="both"/>
        <w:rPr>
          <w:rFonts w:ascii="Times New Roman" w:hAnsi="Times New Roman" w:cs="Times New Roman"/>
        </w:rPr>
      </w:pPr>
      <w:r w:rsidRPr="00721AE3">
        <w:rPr>
          <w:rFonts w:ascii="Times New Roman" w:hAnsi="Times New Roman" w:cs="Times New Roman"/>
        </w:rPr>
        <w:t xml:space="preserve">Table </w:t>
      </w:r>
      <w:r w:rsidR="004B39D9" w:rsidRPr="00721AE3">
        <w:rPr>
          <w:rFonts w:ascii="Times New Roman" w:hAnsi="Times New Roman" w:cs="Times New Roman"/>
        </w:rPr>
        <w:t>3</w:t>
      </w:r>
      <w:r w:rsidRPr="00721AE3">
        <w:rPr>
          <w:rFonts w:ascii="Times New Roman" w:hAnsi="Times New Roman" w:cs="Times New Roman"/>
        </w:rPr>
        <w:t>:</w:t>
      </w:r>
      <w:r w:rsidR="004D03F4" w:rsidRPr="00721AE3">
        <w:rPr>
          <w:rFonts w:ascii="Times New Roman" w:hAnsi="Times New Roman" w:cs="Times New Roman"/>
        </w:rPr>
        <w:t xml:space="preserve"> </w:t>
      </w:r>
      <w:r w:rsidR="00DE3D17" w:rsidRPr="00721AE3">
        <w:rPr>
          <w:rFonts w:ascii="Times New Roman" w:hAnsi="Times New Roman" w:cs="Times New Roman"/>
        </w:rPr>
        <w:t xml:space="preserve">Global </w:t>
      </w:r>
      <w:bookmarkStart w:id="3" w:name="_Hlk226726146"/>
      <w:r w:rsidR="00DE3D17" w:rsidRPr="00721AE3">
        <w:rPr>
          <w:rFonts w:ascii="Times New Roman" w:hAnsi="Times New Roman" w:cs="Times New Roman"/>
        </w:rPr>
        <w:t>feature importance</w:t>
      </w:r>
      <w:bookmarkEnd w:id="3"/>
      <w:r w:rsidR="004C52A6" w:rsidRPr="00721AE3">
        <w:rPr>
          <w:rFonts w:ascii="Times New Roman" w:hAnsi="Times New Roman" w:cs="Times New Roman"/>
        </w:rPr>
        <w:t xml:space="preserve"> </w:t>
      </w:r>
    </w:p>
    <w:tbl>
      <w:tblPr>
        <w:tblStyle w:val="ae"/>
        <w:tblW w:w="88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3719"/>
        <w:gridCol w:w="1576"/>
        <w:gridCol w:w="851"/>
      </w:tblGrid>
      <w:tr w:rsidR="00721AE3" w:rsidRPr="00721AE3" w14:paraId="156FFEF5" w14:textId="77777777" w:rsidTr="00DA7397">
        <w:tc>
          <w:tcPr>
            <w:tcW w:w="2660" w:type="dxa"/>
            <w:tcBorders>
              <w:top w:val="single" w:sz="4" w:space="0" w:color="auto"/>
              <w:bottom w:val="single" w:sz="4" w:space="0" w:color="auto"/>
            </w:tcBorders>
            <w:vAlign w:val="center"/>
          </w:tcPr>
          <w:p w14:paraId="6218C301" w14:textId="694714D0" w:rsidR="0078736B" w:rsidRPr="00721AE3" w:rsidRDefault="00911F74" w:rsidP="0096454A">
            <w:pPr>
              <w:spacing w:line="276" w:lineRule="auto"/>
              <w:rPr>
                <w:rFonts w:ascii="Times New Roman" w:hAnsi="Times New Roman" w:cs="Times New Roman"/>
              </w:rPr>
            </w:pPr>
            <w:r w:rsidRPr="00721AE3">
              <w:rPr>
                <w:rFonts w:ascii="Times New Roman" w:hAnsi="Times New Roman" w:cs="Times New Roman"/>
              </w:rPr>
              <w:t>Type</w:t>
            </w:r>
          </w:p>
        </w:tc>
        <w:tc>
          <w:tcPr>
            <w:tcW w:w="3719" w:type="dxa"/>
            <w:tcBorders>
              <w:top w:val="single" w:sz="4" w:space="0" w:color="auto"/>
              <w:bottom w:val="single" w:sz="4" w:space="0" w:color="auto"/>
            </w:tcBorders>
            <w:vAlign w:val="center"/>
          </w:tcPr>
          <w:p w14:paraId="6AFDEEA7" w14:textId="3872BEF3" w:rsidR="0078736B" w:rsidRPr="00721AE3" w:rsidRDefault="00911F74" w:rsidP="0096454A">
            <w:pPr>
              <w:spacing w:line="276" w:lineRule="auto"/>
              <w:rPr>
                <w:rFonts w:ascii="Times New Roman" w:hAnsi="Times New Roman" w:cs="Times New Roman"/>
              </w:rPr>
            </w:pPr>
            <w:r w:rsidRPr="00721AE3">
              <w:rPr>
                <w:rFonts w:ascii="Times New Roman" w:hAnsi="Times New Roman" w:cs="Times New Roman"/>
              </w:rPr>
              <w:t>Variable</w:t>
            </w:r>
            <w:r w:rsidR="00570272" w:rsidRPr="00721AE3">
              <w:rPr>
                <w:rFonts w:ascii="Times New Roman" w:hAnsi="Times New Roman" w:cs="Times New Roman"/>
              </w:rPr>
              <w:t>s</w:t>
            </w:r>
          </w:p>
        </w:tc>
        <w:tc>
          <w:tcPr>
            <w:tcW w:w="1576" w:type="dxa"/>
            <w:tcBorders>
              <w:top w:val="single" w:sz="4" w:space="0" w:color="auto"/>
              <w:bottom w:val="single" w:sz="4" w:space="0" w:color="auto"/>
            </w:tcBorders>
            <w:vAlign w:val="center"/>
          </w:tcPr>
          <w:p w14:paraId="2AB96F16" w14:textId="093B4B18" w:rsidR="0078736B" w:rsidRPr="00721AE3" w:rsidRDefault="00911F74" w:rsidP="0096454A">
            <w:pPr>
              <w:rPr>
                <w:rFonts w:ascii="Times New Roman" w:hAnsi="Times New Roman" w:cs="Times New Roman"/>
              </w:rPr>
            </w:pPr>
            <w:r w:rsidRPr="00721AE3">
              <w:rPr>
                <w:rFonts w:ascii="Times New Roman" w:hAnsi="Times New Roman" w:cs="Times New Roman"/>
              </w:rPr>
              <w:t>Feature Importance</w:t>
            </w:r>
          </w:p>
        </w:tc>
        <w:tc>
          <w:tcPr>
            <w:tcW w:w="851" w:type="dxa"/>
            <w:tcBorders>
              <w:top w:val="single" w:sz="4" w:space="0" w:color="auto"/>
              <w:bottom w:val="single" w:sz="4" w:space="0" w:color="auto"/>
            </w:tcBorders>
            <w:vAlign w:val="center"/>
          </w:tcPr>
          <w:p w14:paraId="26E7608E" w14:textId="6D57059F" w:rsidR="0078736B" w:rsidRPr="00721AE3" w:rsidRDefault="00911F74" w:rsidP="0096454A">
            <w:pPr>
              <w:spacing w:line="276" w:lineRule="auto"/>
              <w:rPr>
                <w:rFonts w:ascii="Times New Roman" w:hAnsi="Times New Roman" w:cs="Times New Roman"/>
              </w:rPr>
            </w:pPr>
            <w:r w:rsidRPr="00721AE3">
              <w:rPr>
                <w:rFonts w:ascii="Times New Roman" w:hAnsi="Times New Roman" w:cs="Times New Roman"/>
              </w:rPr>
              <w:t>Rank</w:t>
            </w:r>
          </w:p>
        </w:tc>
      </w:tr>
      <w:tr w:rsidR="00721AE3" w:rsidRPr="00721AE3" w14:paraId="64E1DF98" w14:textId="77777777" w:rsidTr="00DA7397">
        <w:tc>
          <w:tcPr>
            <w:tcW w:w="2660" w:type="dxa"/>
            <w:vMerge w:val="restart"/>
            <w:tcBorders>
              <w:top w:val="single" w:sz="4" w:space="0" w:color="auto"/>
            </w:tcBorders>
          </w:tcPr>
          <w:p w14:paraId="11A1AECA" w14:textId="59E47C5B" w:rsidR="005623CE" w:rsidRPr="00721AE3" w:rsidRDefault="005623CE" w:rsidP="0096454A">
            <w:pPr>
              <w:spacing w:line="276" w:lineRule="auto"/>
              <w:rPr>
                <w:rFonts w:ascii="Times New Roman" w:hAnsi="Times New Roman" w:cs="Times New Roman"/>
              </w:rPr>
            </w:pPr>
            <w:r w:rsidRPr="00721AE3">
              <w:rPr>
                <w:rFonts w:ascii="Times New Roman" w:hAnsi="Times New Roman" w:cs="Times New Roman"/>
              </w:rPr>
              <w:t>Structural Characteristics</w:t>
            </w:r>
          </w:p>
        </w:tc>
        <w:tc>
          <w:tcPr>
            <w:tcW w:w="3719" w:type="dxa"/>
            <w:tcBorders>
              <w:top w:val="single" w:sz="4" w:space="0" w:color="auto"/>
            </w:tcBorders>
            <w:vAlign w:val="center"/>
          </w:tcPr>
          <w:p w14:paraId="02BB3D28" w14:textId="35277E67" w:rsidR="005623CE" w:rsidRPr="00721AE3" w:rsidRDefault="005623CE" w:rsidP="0096454A">
            <w:pPr>
              <w:spacing w:line="276" w:lineRule="auto"/>
              <w:rPr>
                <w:rFonts w:ascii="Times New Roman" w:hAnsi="Times New Roman" w:cs="Times New Roman"/>
              </w:rPr>
            </w:pPr>
            <w:r w:rsidRPr="00721AE3">
              <w:rPr>
                <w:rFonts w:ascii="Times New Roman" w:hAnsi="Times New Roman" w:cs="Times New Roman"/>
              </w:rPr>
              <w:t>Number of bedrooms</w:t>
            </w:r>
          </w:p>
        </w:tc>
        <w:tc>
          <w:tcPr>
            <w:tcW w:w="1576" w:type="dxa"/>
            <w:tcBorders>
              <w:top w:val="single" w:sz="4" w:space="0" w:color="auto"/>
            </w:tcBorders>
            <w:vAlign w:val="center"/>
          </w:tcPr>
          <w:p w14:paraId="6425CEEC" w14:textId="49234DA6" w:rsidR="005623CE" w:rsidRPr="00721AE3" w:rsidRDefault="00E65341" w:rsidP="0096454A">
            <w:pPr>
              <w:spacing w:line="276" w:lineRule="auto"/>
              <w:rPr>
                <w:rFonts w:ascii="Times New Roman" w:hAnsi="Times New Roman" w:cs="Times New Roman"/>
              </w:rPr>
            </w:pPr>
            <w:r w:rsidRPr="00721AE3">
              <w:rPr>
                <w:rFonts w:ascii="Times New Roman" w:hAnsi="Times New Roman" w:cs="Times New Roman"/>
              </w:rPr>
              <w:t>1.</w:t>
            </w:r>
            <w:r w:rsidR="00F4136D" w:rsidRPr="00721AE3">
              <w:rPr>
                <w:rFonts w:ascii="Times New Roman" w:hAnsi="Times New Roman" w:cs="Times New Roman"/>
              </w:rPr>
              <w:t>64</w:t>
            </w:r>
            <w:r w:rsidR="003C55AC" w:rsidRPr="00721AE3">
              <w:rPr>
                <w:rFonts w:ascii="Times New Roman" w:hAnsi="Times New Roman" w:cs="Times New Roman"/>
              </w:rPr>
              <w:t>%</w:t>
            </w:r>
          </w:p>
        </w:tc>
        <w:tc>
          <w:tcPr>
            <w:tcW w:w="851" w:type="dxa"/>
            <w:tcBorders>
              <w:top w:val="single" w:sz="4" w:space="0" w:color="auto"/>
            </w:tcBorders>
            <w:vAlign w:val="center"/>
          </w:tcPr>
          <w:p w14:paraId="19802A42" w14:textId="6A66A55B" w:rsidR="005623CE" w:rsidRPr="00721AE3" w:rsidRDefault="00F77149" w:rsidP="0096454A">
            <w:pPr>
              <w:spacing w:line="276" w:lineRule="auto"/>
              <w:rPr>
                <w:rFonts w:ascii="Times New Roman" w:hAnsi="Times New Roman" w:cs="Times New Roman"/>
              </w:rPr>
            </w:pPr>
            <w:r w:rsidRPr="00721AE3">
              <w:rPr>
                <w:rFonts w:ascii="Times New Roman" w:hAnsi="Times New Roman" w:cs="Times New Roman"/>
              </w:rPr>
              <w:t>6</w:t>
            </w:r>
          </w:p>
        </w:tc>
      </w:tr>
      <w:tr w:rsidR="00721AE3" w:rsidRPr="00721AE3" w14:paraId="4F86B8AB" w14:textId="77777777" w:rsidTr="00DA7397">
        <w:tc>
          <w:tcPr>
            <w:tcW w:w="2660" w:type="dxa"/>
            <w:vMerge/>
          </w:tcPr>
          <w:p w14:paraId="0FBCE3CD" w14:textId="77777777" w:rsidR="005623CE" w:rsidRPr="00721AE3" w:rsidRDefault="005623CE" w:rsidP="0096454A">
            <w:pPr>
              <w:spacing w:line="276" w:lineRule="auto"/>
              <w:rPr>
                <w:rFonts w:ascii="Times New Roman" w:hAnsi="Times New Roman" w:cs="Times New Roman"/>
              </w:rPr>
            </w:pPr>
          </w:p>
        </w:tc>
        <w:tc>
          <w:tcPr>
            <w:tcW w:w="3719" w:type="dxa"/>
            <w:vAlign w:val="center"/>
          </w:tcPr>
          <w:p w14:paraId="5C7BF11C" w14:textId="0AF0C309" w:rsidR="005623CE" w:rsidRPr="00721AE3" w:rsidRDefault="005623CE" w:rsidP="0096454A">
            <w:pPr>
              <w:spacing w:line="276" w:lineRule="auto"/>
              <w:rPr>
                <w:rFonts w:ascii="Times New Roman" w:hAnsi="Times New Roman" w:cs="Times New Roman"/>
              </w:rPr>
            </w:pPr>
            <w:r w:rsidRPr="00721AE3">
              <w:rPr>
                <w:rFonts w:ascii="Times New Roman" w:hAnsi="Times New Roman" w:cs="Times New Roman"/>
              </w:rPr>
              <w:t>Number of living rooms</w:t>
            </w:r>
          </w:p>
        </w:tc>
        <w:tc>
          <w:tcPr>
            <w:tcW w:w="1576" w:type="dxa"/>
            <w:vAlign w:val="center"/>
          </w:tcPr>
          <w:p w14:paraId="19DD9D82" w14:textId="7EE27BE8" w:rsidR="005623CE" w:rsidRPr="00721AE3" w:rsidRDefault="00E65341" w:rsidP="0096454A">
            <w:pPr>
              <w:spacing w:line="276" w:lineRule="auto"/>
              <w:rPr>
                <w:rFonts w:ascii="Times New Roman" w:hAnsi="Times New Roman" w:cs="Times New Roman"/>
              </w:rPr>
            </w:pPr>
            <w:r w:rsidRPr="00721AE3">
              <w:rPr>
                <w:rFonts w:ascii="Times New Roman" w:hAnsi="Times New Roman" w:cs="Times New Roman"/>
              </w:rPr>
              <w:t>1.</w:t>
            </w:r>
            <w:r w:rsidR="00347E96" w:rsidRPr="00721AE3">
              <w:rPr>
                <w:rFonts w:ascii="Times New Roman" w:hAnsi="Times New Roman" w:cs="Times New Roman"/>
              </w:rPr>
              <w:t>57</w:t>
            </w:r>
            <w:r w:rsidR="003C55AC" w:rsidRPr="00721AE3">
              <w:rPr>
                <w:rFonts w:ascii="Times New Roman" w:hAnsi="Times New Roman" w:cs="Times New Roman"/>
              </w:rPr>
              <w:t>%</w:t>
            </w:r>
          </w:p>
        </w:tc>
        <w:tc>
          <w:tcPr>
            <w:tcW w:w="851" w:type="dxa"/>
            <w:vAlign w:val="center"/>
          </w:tcPr>
          <w:p w14:paraId="65F05200" w14:textId="51B86A0B" w:rsidR="005623CE" w:rsidRPr="00721AE3" w:rsidRDefault="00347E96" w:rsidP="0096454A">
            <w:pPr>
              <w:spacing w:line="276" w:lineRule="auto"/>
              <w:rPr>
                <w:rFonts w:ascii="Times New Roman" w:hAnsi="Times New Roman" w:cs="Times New Roman"/>
              </w:rPr>
            </w:pPr>
            <w:r w:rsidRPr="00721AE3">
              <w:rPr>
                <w:rFonts w:ascii="Times New Roman" w:hAnsi="Times New Roman" w:cs="Times New Roman"/>
              </w:rPr>
              <w:t>7</w:t>
            </w:r>
          </w:p>
        </w:tc>
      </w:tr>
      <w:tr w:rsidR="00721AE3" w:rsidRPr="00721AE3" w14:paraId="083BC38D" w14:textId="77777777" w:rsidTr="00DA7397">
        <w:tc>
          <w:tcPr>
            <w:tcW w:w="2660" w:type="dxa"/>
            <w:vMerge w:val="restart"/>
          </w:tcPr>
          <w:p w14:paraId="59A5BF23" w14:textId="2B26A986" w:rsidR="00186DE4" w:rsidRPr="00721AE3" w:rsidRDefault="00186DE4" w:rsidP="0096454A">
            <w:pPr>
              <w:spacing w:line="276" w:lineRule="auto"/>
              <w:rPr>
                <w:rFonts w:ascii="Times New Roman" w:hAnsi="Times New Roman" w:cs="Times New Roman"/>
              </w:rPr>
            </w:pPr>
            <w:r w:rsidRPr="00721AE3">
              <w:rPr>
                <w:rFonts w:ascii="Times New Roman" w:hAnsi="Times New Roman" w:cs="Times New Roman"/>
              </w:rPr>
              <w:t xml:space="preserve">Property usage </w:t>
            </w:r>
          </w:p>
        </w:tc>
        <w:tc>
          <w:tcPr>
            <w:tcW w:w="3719" w:type="dxa"/>
            <w:vAlign w:val="center"/>
          </w:tcPr>
          <w:p w14:paraId="46A27AE1" w14:textId="20471098" w:rsidR="00186DE4" w:rsidRPr="00721AE3" w:rsidRDefault="00186DE4" w:rsidP="0096454A">
            <w:pPr>
              <w:spacing w:line="276" w:lineRule="auto"/>
              <w:rPr>
                <w:rFonts w:ascii="Times New Roman" w:hAnsi="Times New Roman" w:cs="Times New Roman"/>
              </w:rPr>
            </w:pPr>
            <w:r w:rsidRPr="00721AE3">
              <w:rPr>
                <w:rFonts w:ascii="Times New Roman" w:hAnsi="Times New Roman" w:cs="Times New Roman"/>
              </w:rPr>
              <w:t xml:space="preserve">Industrial </w:t>
            </w:r>
          </w:p>
        </w:tc>
        <w:tc>
          <w:tcPr>
            <w:tcW w:w="1576" w:type="dxa"/>
            <w:vAlign w:val="center"/>
          </w:tcPr>
          <w:p w14:paraId="6250E96C" w14:textId="2AC8FE17" w:rsidR="00186DE4" w:rsidRPr="00721AE3" w:rsidRDefault="00347E96" w:rsidP="0096454A">
            <w:pPr>
              <w:spacing w:line="276" w:lineRule="auto"/>
              <w:rPr>
                <w:rFonts w:ascii="Times New Roman" w:hAnsi="Times New Roman" w:cs="Times New Roman"/>
              </w:rPr>
            </w:pPr>
            <w:r w:rsidRPr="00721AE3">
              <w:rPr>
                <w:rFonts w:ascii="Times New Roman" w:hAnsi="Times New Roman" w:cs="Times New Roman"/>
              </w:rPr>
              <w:t>70.31</w:t>
            </w:r>
            <w:r w:rsidR="00AB55F5" w:rsidRPr="00721AE3">
              <w:rPr>
                <w:rFonts w:ascii="Times New Roman" w:hAnsi="Times New Roman" w:cs="Times New Roman"/>
              </w:rPr>
              <w:t>%</w:t>
            </w:r>
          </w:p>
        </w:tc>
        <w:tc>
          <w:tcPr>
            <w:tcW w:w="851" w:type="dxa"/>
            <w:vAlign w:val="center"/>
          </w:tcPr>
          <w:p w14:paraId="5517AC59" w14:textId="3D143B7F" w:rsidR="00186DE4" w:rsidRPr="00721AE3" w:rsidRDefault="00AB55F5" w:rsidP="0096454A">
            <w:pPr>
              <w:spacing w:line="276" w:lineRule="auto"/>
              <w:rPr>
                <w:rFonts w:ascii="Times New Roman" w:hAnsi="Times New Roman" w:cs="Times New Roman"/>
              </w:rPr>
            </w:pPr>
            <w:r w:rsidRPr="00721AE3">
              <w:rPr>
                <w:rFonts w:ascii="Times New Roman" w:hAnsi="Times New Roman" w:cs="Times New Roman"/>
              </w:rPr>
              <w:t>1</w:t>
            </w:r>
          </w:p>
        </w:tc>
      </w:tr>
      <w:tr w:rsidR="00721AE3" w:rsidRPr="00721AE3" w14:paraId="66217BFE" w14:textId="77777777" w:rsidTr="00DA7397">
        <w:tc>
          <w:tcPr>
            <w:tcW w:w="2660" w:type="dxa"/>
            <w:vMerge/>
          </w:tcPr>
          <w:p w14:paraId="2E4907BD" w14:textId="77777777" w:rsidR="00186DE4" w:rsidRPr="00721AE3" w:rsidRDefault="00186DE4" w:rsidP="0096454A">
            <w:pPr>
              <w:spacing w:line="276" w:lineRule="auto"/>
              <w:rPr>
                <w:rFonts w:ascii="Times New Roman" w:hAnsi="Times New Roman" w:cs="Times New Roman"/>
              </w:rPr>
            </w:pPr>
          </w:p>
        </w:tc>
        <w:tc>
          <w:tcPr>
            <w:tcW w:w="3719" w:type="dxa"/>
            <w:vAlign w:val="center"/>
          </w:tcPr>
          <w:p w14:paraId="42BAA9CA" w14:textId="6A185380" w:rsidR="00186DE4" w:rsidRPr="00721AE3" w:rsidRDefault="00186DE4" w:rsidP="0096454A">
            <w:pPr>
              <w:spacing w:line="276" w:lineRule="auto"/>
              <w:rPr>
                <w:rFonts w:ascii="Times New Roman" w:hAnsi="Times New Roman" w:cs="Times New Roman"/>
              </w:rPr>
            </w:pPr>
            <w:r w:rsidRPr="00721AE3">
              <w:rPr>
                <w:rFonts w:ascii="Times New Roman" w:hAnsi="Times New Roman" w:cs="Times New Roman"/>
              </w:rPr>
              <w:t xml:space="preserve">Residential </w:t>
            </w:r>
          </w:p>
        </w:tc>
        <w:tc>
          <w:tcPr>
            <w:tcW w:w="1576" w:type="dxa"/>
            <w:vAlign w:val="center"/>
          </w:tcPr>
          <w:p w14:paraId="0E1072D8" w14:textId="7BC886E1" w:rsidR="00186DE4" w:rsidRPr="00721AE3" w:rsidRDefault="00AB55F5" w:rsidP="0096454A">
            <w:pPr>
              <w:spacing w:line="276" w:lineRule="auto"/>
              <w:rPr>
                <w:rFonts w:ascii="Times New Roman" w:hAnsi="Times New Roman" w:cs="Times New Roman"/>
              </w:rPr>
            </w:pPr>
            <w:r w:rsidRPr="00721AE3">
              <w:rPr>
                <w:rFonts w:ascii="Times New Roman" w:hAnsi="Times New Roman" w:cs="Times New Roman"/>
              </w:rPr>
              <w:t>6.</w:t>
            </w:r>
            <w:r w:rsidR="006B6CAA" w:rsidRPr="00721AE3">
              <w:rPr>
                <w:rFonts w:ascii="Times New Roman" w:hAnsi="Times New Roman" w:cs="Times New Roman"/>
              </w:rPr>
              <w:t>23</w:t>
            </w:r>
            <w:r w:rsidRPr="00721AE3">
              <w:rPr>
                <w:rFonts w:ascii="Times New Roman" w:hAnsi="Times New Roman" w:cs="Times New Roman"/>
              </w:rPr>
              <w:t>%</w:t>
            </w:r>
          </w:p>
        </w:tc>
        <w:tc>
          <w:tcPr>
            <w:tcW w:w="851" w:type="dxa"/>
            <w:vAlign w:val="center"/>
          </w:tcPr>
          <w:p w14:paraId="28126E62" w14:textId="4C3B5D43" w:rsidR="00186DE4" w:rsidRPr="00721AE3" w:rsidRDefault="00AB55F5" w:rsidP="0096454A">
            <w:pPr>
              <w:spacing w:line="276" w:lineRule="auto"/>
              <w:rPr>
                <w:rFonts w:ascii="Times New Roman" w:hAnsi="Times New Roman" w:cs="Times New Roman"/>
              </w:rPr>
            </w:pPr>
            <w:r w:rsidRPr="00721AE3">
              <w:rPr>
                <w:rFonts w:ascii="Times New Roman" w:hAnsi="Times New Roman" w:cs="Times New Roman"/>
              </w:rPr>
              <w:t>2</w:t>
            </w:r>
          </w:p>
        </w:tc>
      </w:tr>
      <w:tr w:rsidR="00721AE3" w:rsidRPr="00721AE3" w14:paraId="3640F473" w14:textId="77777777" w:rsidTr="00DA7397">
        <w:tc>
          <w:tcPr>
            <w:tcW w:w="2660" w:type="dxa"/>
            <w:vMerge/>
          </w:tcPr>
          <w:p w14:paraId="5163E6EC" w14:textId="77777777" w:rsidR="00186DE4" w:rsidRPr="00721AE3" w:rsidRDefault="00186DE4" w:rsidP="0096454A">
            <w:pPr>
              <w:spacing w:line="276" w:lineRule="auto"/>
              <w:rPr>
                <w:rFonts w:ascii="Times New Roman" w:hAnsi="Times New Roman" w:cs="Times New Roman"/>
              </w:rPr>
            </w:pPr>
          </w:p>
        </w:tc>
        <w:tc>
          <w:tcPr>
            <w:tcW w:w="3719" w:type="dxa"/>
            <w:vAlign w:val="center"/>
          </w:tcPr>
          <w:p w14:paraId="009EC32E" w14:textId="29F69BC3" w:rsidR="00186DE4" w:rsidRPr="00721AE3" w:rsidRDefault="00186DE4" w:rsidP="0096454A">
            <w:pPr>
              <w:spacing w:line="276" w:lineRule="auto"/>
              <w:rPr>
                <w:rFonts w:ascii="Times New Roman" w:hAnsi="Times New Roman" w:cs="Times New Roman"/>
              </w:rPr>
            </w:pPr>
            <w:r w:rsidRPr="00721AE3">
              <w:rPr>
                <w:rFonts w:ascii="Times New Roman" w:hAnsi="Times New Roman" w:cs="Times New Roman"/>
              </w:rPr>
              <w:t xml:space="preserve">Commercial </w:t>
            </w:r>
          </w:p>
        </w:tc>
        <w:tc>
          <w:tcPr>
            <w:tcW w:w="1576" w:type="dxa"/>
            <w:vAlign w:val="center"/>
          </w:tcPr>
          <w:p w14:paraId="65B26E36" w14:textId="56EB4D5D" w:rsidR="00186DE4" w:rsidRPr="00721AE3" w:rsidRDefault="006B6CAA" w:rsidP="0096454A">
            <w:pPr>
              <w:spacing w:line="276" w:lineRule="auto"/>
              <w:rPr>
                <w:rFonts w:ascii="Times New Roman" w:hAnsi="Times New Roman" w:cs="Times New Roman"/>
              </w:rPr>
            </w:pPr>
            <w:r w:rsidRPr="00721AE3">
              <w:rPr>
                <w:rFonts w:ascii="Times New Roman" w:hAnsi="Times New Roman" w:cs="Times New Roman"/>
              </w:rPr>
              <w:t>3.13</w:t>
            </w:r>
            <w:r w:rsidR="00AB55F5" w:rsidRPr="00721AE3">
              <w:rPr>
                <w:rFonts w:ascii="Times New Roman" w:hAnsi="Times New Roman" w:cs="Times New Roman"/>
              </w:rPr>
              <w:t>%</w:t>
            </w:r>
          </w:p>
        </w:tc>
        <w:tc>
          <w:tcPr>
            <w:tcW w:w="851" w:type="dxa"/>
            <w:vAlign w:val="center"/>
          </w:tcPr>
          <w:p w14:paraId="093AF7CC" w14:textId="1DCB4D56" w:rsidR="00186DE4" w:rsidRPr="00721AE3" w:rsidRDefault="00AB55F5" w:rsidP="0096454A">
            <w:pPr>
              <w:spacing w:line="276" w:lineRule="auto"/>
              <w:rPr>
                <w:rFonts w:ascii="Times New Roman" w:hAnsi="Times New Roman" w:cs="Times New Roman"/>
              </w:rPr>
            </w:pPr>
            <w:r w:rsidRPr="00721AE3">
              <w:rPr>
                <w:rFonts w:ascii="Times New Roman" w:hAnsi="Times New Roman" w:cs="Times New Roman"/>
              </w:rPr>
              <w:t>3</w:t>
            </w:r>
          </w:p>
        </w:tc>
      </w:tr>
      <w:tr w:rsidR="00721AE3" w:rsidRPr="00721AE3" w14:paraId="1967A09C" w14:textId="77777777" w:rsidTr="00DA7397">
        <w:tc>
          <w:tcPr>
            <w:tcW w:w="2660" w:type="dxa"/>
            <w:vMerge/>
          </w:tcPr>
          <w:p w14:paraId="6426A06F" w14:textId="77777777" w:rsidR="00186DE4" w:rsidRPr="00721AE3" w:rsidRDefault="00186DE4" w:rsidP="0096454A">
            <w:pPr>
              <w:spacing w:line="276" w:lineRule="auto"/>
              <w:rPr>
                <w:rFonts w:ascii="Times New Roman" w:hAnsi="Times New Roman" w:cs="Times New Roman"/>
              </w:rPr>
            </w:pPr>
          </w:p>
        </w:tc>
        <w:tc>
          <w:tcPr>
            <w:tcW w:w="3719" w:type="dxa"/>
            <w:vAlign w:val="center"/>
          </w:tcPr>
          <w:p w14:paraId="38E5B6D7" w14:textId="57EADE6E" w:rsidR="00186DE4" w:rsidRPr="00721AE3" w:rsidRDefault="00186DE4" w:rsidP="0096454A">
            <w:pPr>
              <w:spacing w:line="276" w:lineRule="auto"/>
              <w:rPr>
                <w:rFonts w:ascii="Times New Roman" w:hAnsi="Times New Roman" w:cs="Times New Roman"/>
              </w:rPr>
            </w:pPr>
            <w:r w:rsidRPr="00721AE3">
              <w:rPr>
                <w:rFonts w:ascii="Times New Roman" w:hAnsi="Times New Roman" w:cs="Times New Roman"/>
              </w:rPr>
              <w:t>Office</w:t>
            </w:r>
          </w:p>
        </w:tc>
        <w:tc>
          <w:tcPr>
            <w:tcW w:w="1576" w:type="dxa"/>
            <w:vAlign w:val="center"/>
          </w:tcPr>
          <w:p w14:paraId="5FA41AE3" w14:textId="1C03CAB8" w:rsidR="00186DE4" w:rsidRPr="00721AE3" w:rsidRDefault="00BF2BDB" w:rsidP="0096454A">
            <w:pPr>
              <w:spacing w:line="276" w:lineRule="auto"/>
              <w:rPr>
                <w:rFonts w:ascii="Times New Roman" w:hAnsi="Times New Roman" w:cs="Times New Roman"/>
              </w:rPr>
            </w:pPr>
            <w:r w:rsidRPr="00721AE3">
              <w:rPr>
                <w:rFonts w:ascii="Times New Roman" w:hAnsi="Times New Roman" w:cs="Times New Roman"/>
              </w:rPr>
              <w:t>2.</w:t>
            </w:r>
            <w:r w:rsidR="006B6CAA" w:rsidRPr="00721AE3">
              <w:rPr>
                <w:rFonts w:ascii="Times New Roman" w:hAnsi="Times New Roman" w:cs="Times New Roman"/>
              </w:rPr>
              <w:t>63</w:t>
            </w:r>
            <w:r w:rsidR="00AB55F5" w:rsidRPr="00721AE3">
              <w:rPr>
                <w:rFonts w:ascii="Times New Roman" w:hAnsi="Times New Roman" w:cs="Times New Roman"/>
              </w:rPr>
              <w:t>%</w:t>
            </w:r>
          </w:p>
        </w:tc>
        <w:tc>
          <w:tcPr>
            <w:tcW w:w="851" w:type="dxa"/>
            <w:vAlign w:val="center"/>
          </w:tcPr>
          <w:p w14:paraId="35A86CED" w14:textId="5884B7D4" w:rsidR="00186DE4" w:rsidRPr="00721AE3" w:rsidRDefault="00EC07A8" w:rsidP="0096454A">
            <w:pPr>
              <w:spacing w:line="276" w:lineRule="auto"/>
              <w:rPr>
                <w:rFonts w:ascii="Times New Roman" w:hAnsi="Times New Roman" w:cs="Times New Roman"/>
              </w:rPr>
            </w:pPr>
            <w:r w:rsidRPr="00721AE3">
              <w:rPr>
                <w:rFonts w:ascii="Times New Roman" w:hAnsi="Times New Roman" w:cs="Times New Roman"/>
              </w:rPr>
              <w:t>4</w:t>
            </w:r>
          </w:p>
        </w:tc>
      </w:tr>
      <w:tr w:rsidR="00721AE3" w:rsidRPr="00721AE3" w14:paraId="2DB2192E" w14:textId="77777777" w:rsidTr="00DA7397">
        <w:tc>
          <w:tcPr>
            <w:tcW w:w="2660" w:type="dxa"/>
            <w:vMerge w:val="restart"/>
          </w:tcPr>
          <w:p w14:paraId="5DC898ED" w14:textId="49E6232E" w:rsidR="001B18F0" w:rsidRPr="00721AE3" w:rsidRDefault="001B18F0" w:rsidP="0096454A">
            <w:pPr>
              <w:spacing w:line="276" w:lineRule="auto"/>
              <w:rPr>
                <w:rFonts w:ascii="Times New Roman" w:hAnsi="Times New Roman" w:cs="Times New Roman"/>
              </w:rPr>
            </w:pPr>
            <w:r w:rsidRPr="00721AE3">
              <w:rPr>
                <w:rFonts w:ascii="Times New Roman" w:hAnsi="Times New Roman" w:cs="Times New Roman"/>
              </w:rPr>
              <w:t xml:space="preserve">Education facility amenities </w:t>
            </w:r>
          </w:p>
        </w:tc>
        <w:tc>
          <w:tcPr>
            <w:tcW w:w="3719" w:type="dxa"/>
            <w:vAlign w:val="center"/>
          </w:tcPr>
          <w:p w14:paraId="739FB375" w14:textId="73EF67F1" w:rsidR="001B18F0" w:rsidRPr="00721AE3" w:rsidRDefault="001B18F0"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Pr="00721AE3">
              <w:rPr>
                <w:rFonts w:ascii="Times New Roman" w:hAnsi="Times New Roman" w:cs="Times New Roman"/>
              </w:rPr>
              <w:t>primary school (km)</w:t>
            </w:r>
          </w:p>
        </w:tc>
        <w:tc>
          <w:tcPr>
            <w:tcW w:w="1576" w:type="dxa"/>
            <w:vAlign w:val="center"/>
          </w:tcPr>
          <w:p w14:paraId="50B476E7" w14:textId="768D28B0" w:rsidR="001B18F0" w:rsidRPr="00721AE3" w:rsidRDefault="003458D4" w:rsidP="0096454A">
            <w:pPr>
              <w:spacing w:line="276" w:lineRule="auto"/>
              <w:rPr>
                <w:rFonts w:ascii="Times New Roman" w:hAnsi="Times New Roman" w:cs="Times New Roman"/>
              </w:rPr>
            </w:pPr>
            <w:r w:rsidRPr="00721AE3">
              <w:rPr>
                <w:rFonts w:ascii="Times New Roman" w:hAnsi="Times New Roman" w:cs="Times New Roman"/>
              </w:rPr>
              <w:t>0.</w:t>
            </w:r>
            <w:r w:rsidR="006F42CD" w:rsidRPr="00721AE3">
              <w:rPr>
                <w:rFonts w:ascii="Times New Roman" w:hAnsi="Times New Roman" w:cs="Times New Roman"/>
              </w:rPr>
              <w:t>2</w:t>
            </w:r>
            <w:r w:rsidR="006B6CAA" w:rsidRPr="00721AE3">
              <w:rPr>
                <w:rFonts w:ascii="Times New Roman" w:hAnsi="Times New Roman" w:cs="Times New Roman"/>
              </w:rPr>
              <w:t>1</w:t>
            </w:r>
            <w:r w:rsidRPr="00721AE3">
              <w:rPr>
                <w:rFonts w:ascii="Times New Roman" w:hAnsi="Times New Roman" w:cs="Times New Roman"/>
              </w:rPr>
              <w:t>%</w:t>
            </w:r>
          </w:p>
        </w:tc>
        <w:tc>
          <w:tcPr>
            <w:tcW w:w="851" w:type="dxa"/>
            <w:vAlign w:val="center"/>
          </w:tcPr>
          <w:p w14:paraId="36426F3C" w14:textId="205EDEA0" w:rsidR="001B18F0" w:rsidRPr="00721AE3" w:rsidRDefault="003458D4" w:rsidP="0096454A">
            <w:pPr>
              <w:spacing w:line="276" w:lineRule="auto"/>
              <w:rPr>
                <w:rFonts w:ascii="Times New Roman" w:hAnsi="Times New Roman" w:cs="Times New Roman"/>
              </w:rPr>
            </w:pPr>
            <w:r w:rsidRPr="00721AE3">
              <w:rPr>
                <w:rFonts w:ascii="Times New Roman" w:hAnsi="Times New Roman" w:cs="Times New Roman"/>
              </w:rPr>
              <w:t>3</w:t>
            </w:r>
            <w:r w:rsidR="00683923" w:rsidRPr="00721AE3">
              <w:rPr>
                <w:rFonts w:ascii="Times New Roman" w:hAnsi="Times New Roman" w:cs="Times New Roman"/>
              </w:rPr>
              <w:t>2</w:t>
            </w:r>
          </w:p>
        </w:tc>
      </w:tr>
      <w:tr w:rsidR="00721AE3" w:rsidRPr="00721AE3" w14:paraId="23535B94" w14:textId="77777777" w:rsidTr="00DA7397">
        <w:tc>
          <w:tcPr>
            <w:tcW w:w="2660" w:type="dxa"/>
            <w:vMerge/>
          </w:tcPr>
          <w:p w14:paraId="5366C0EA" w14:textId="77777777" w:rsidR="001B18F0" w:rsidRPr="00721AE3" w:rsidRDefault="001B18F0" w:rsidP="0096454A">
            <w:pPr>
              <w:spacing w:line="276" w:lineRule="auto"/>
              <w:rPr>
                <w:rFonts w:ascii="Times New Roman" w:hAnsi="Times New Roman" w:cs="Times New Roman"/>
              </w:rPr>
            </w:pPr>
          </w:p>
        </w:tc>
        <w:tc>
          <w:tcPr>
            <w:tcW w:w="3719" w:type="dxa"/>
            <w:vAlign w:val="center"/>
          </w:tcPr>
          <w:p w14:paraId="2803B929" w14:textId="728F6F2C" w:rsidR="001B18F0" w:rsidRPr="00721AE3" w:rsidRDefault="001B18F0"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00BF2BDB" w:rsidRPr="00721AE3">
              <w:rPr>
                <w:rFonts w:ascii="Times New Roman" w:hAnsi="Times New Roman" w:cs="Times New Roman"/>
              </w:rPr>
              <w:t xml:space="preserve">secondary </w:t>
            </w:r>
            <w:r w:rsidRPr="00721AE3">
              <w:rPr>
                <w:rFonts w:ascii="Times New Roman" w:hAnsi="Times New Roman" w:cs="Times New Roman"/>
              </w:rPr>
              <w:t>school (km)</w:t>
            </w:r>
          </w:p>
        </w:tc>
        <w:tc>
          <w:tcPr>
            <w:tcW w:w="1576" w:type="dxa"/>
            <w:vAlign w:val="center"/>
          </w:tcPr>
          <w:p w14:paraId="31E32E31" w14:textId="03A8DD07" w:rsidR="001B18F0" w:rsidRPr="00721AE3" w:rsidRDefault="003458D4" w:rsidP="0096454A">
            <w:pPr>
              <w:spacing w:line="276" w:lineRule="auto"/>
              <w:rPr>
                <w:rFonts w:ascii="Times New Roman" w:hAnsi="Times New Roman" w:cs="Times New Roman"/>
              </w:rPr>
            </w:pPr>
            <w:r w:rsidRPr="00721AE3">
              <w:rPr>
                <w:rFonts w:ascii="Times New Roman" w:hAnsi="Times New Roman" w:cs="Times New Roman"/>
              </w:rPr>
              <w:t>0.</w:t>
            </w:r>
            <w:r w:rsidR="006F42CD" w:rsidRPr="00721AE3">
              <w:rPr>
                <w:rFonts w:ascii="Times New Roman" w:hAnsi="Times New Roman" w:cs="Times New Roman"/>
              </w:rPr>
              <w:t>2</w:t>
            </w:r>
            <w:r w:rsidR="00683923" w:rsidRPr="00721AE3">
              <w:rPr>
                <w:rFonts w:ascii="Times New Roman" w:hAnsi="Times New Roman" w:cs="Times New Roman"/>
              </w:rPr>
              <w:t>4</w:t>
            </w:r>
            <w:r w:rsidRPr="00721AE3">
              <w:rPr>
                <w:rFonts w:ascii="Times New Roman" w:hAnsi="Times New Roman" w:cs="Times New Roman"/>
              </w:rPr>
              <w:t>%</w:t>
            </w:r>
          </w:p>
        </w:tc>
        <w:tc>
          <w:tcPr>
            <w:tcW w:w="851" w:type="dxa"/>
            <w:vAlign w:val="center"/>
          </w:tcPr>
          <w:p w14:paraId="736FCE89" w14:textId="69F137F7" w:rsidR="001B18F0" w:rsidRPr="00721AE3" w:rsidRDefault="00683923" w:rsidP="0096454A">
            <w:pPr>
              <w:spacing w:line="276" w:lineRule="auto"/>
              <w:rPr>
                <w:rFonts w:ascii="Times New Roman" w:hAnsi="Times New Roman" w:cs="Times New Roman"/>
              </w:rPr>
            </w:pPr>
            <w:r w:rsidRPr="00721AE3">
              <w:rPr>
                <w:rFonts w:ascii="Times New Roman" w:hAnsi="Times New Roman" w:cs="Times New Roman"/>
              </w:rPr>
              <w:t>28</w:t>
            </w:r>
          </w:p>
        </w:tc>
      </w:tr>
      <w:tr w:rsidR="00721AE3" w:rsidRPr="00721AE3" w14:paraId="7FF845C9" w14:textId="77777777" w:rsidTr="00DA7397">
        <w:tc>
          <w:tcPr>
            <w:tcW w:w="2660" w:type="dxa"/>
            <w:vMerge/>
          </w:tcPr>
          <w:p w14:paraId="5CA34AE3" w14:textId="77777777" w:rsidR="001B18F0" w:rsidRPr="00721AE3" w:rsidRDefault="001B18F0" w:rsidP="0096454A">
            <w:pPr>
              <w:spacing w:line="276" w:lineRule="auto"/>
              <w:rPr>
                <w:rFonts w:ascii="Times New Roman" w:hAnsi="Times New Roman" w:cs="Times New Roman"/>
              </w:rPr>
            </w:pPr>
          </w:p>
        </w:tc>
        <w:tc>
          <w:tcPr>
            <w:tcW w:w="3719" w:type="dxa"/>
            <w:vAlign w:val="center"/>
          </w:tcPr>
          <w:p w14:paraId="7F7CC386" w14:textId="65FCF0FF" w:rsidR="001B18F0" w:rsidRPr="00721AE3" w:rsidRDefault="001B18F0"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003261F9" w:rsidRPr="00721AE3">
              <w:rPr>
                <w:rFonts w:ascii="Times New Roman" w:hAnsi="Times New Roman" w:cs="Times New Roman"/>
              </w:rPr>
              <w:t>university</w:t>
            </w:r>
            <w:r w:rsidRPr="00721AE3">
              <w:rPr>
                <w:rFonts w:ascii="Times New Roman" w:hAnsi="Times New Roman" w:cs="Times New Roman"/>
              </w:rPr>
              <w:t xml:space="preserve"> (km)</w:t>
            </w:r>
          </w:p>
        </w:tc>
        <w:tc>
          <w:tcPr>
            <w:tcW w:w="1576" w:type="dxa"/>
            <w:vAlign w:val="center"/>
          </w:tcPr>
          <w:p w14:paraId="7065DC72" w14:textId="33B64EF0" w:rsidR="001B18F0" w:rsidRPr="00721AE3" w:rsidRDefault="005113C1" w:rsidP="0096454A">
            <w:pPr>
              <w:spacing w:line="276" w:lineRule="auto"/>
              <w:rPr>
                <w:rFonts w:ascii="Times New Roman" w:hAnsi="Times New Roman" w:cs="Times New Roman"/>
              </w:rPr>
            </w:pPr>
            <w:r w:rsidRPr="00721AE3">
              <w:rPr>
                <w:rFonts w:ascii="Times New Roman" w:hAnsi="Times New Roman" w:cs="Times New Roman"/>
              </w:rPr>
              <w:t>0.</w:t>
            </w:r>
            <w:r w:rsidR="006F42CD" w:rsidRPr="00721AE3">
              <w:rPr>
                <w:rFonts w:ascii="Times New Roman" w:hAnsi="Times New Roman" w:cs="Times New Roman"/>
              </w:rPr>
              <w:t>2</w:t>
            </w:r>
            <w:r w:rsidR="00683923" w:rsidRPr="00721AE3">
              <w:rPr>
                <w:rFonts w:ascii="Times New Roman" w:hAnsi="Times New Roman" w:cs="Times New Roman"/>
              </w:rPr>
              <w:t>5</w:t>
            </w:r>
            <w:r w:rsidRPr="00721AE3">
              <w:rPr>
                <w:rFonts w:ascii="Times New Roman" w:hAnsi="Times New Roman" w:cs="Times New Roman"/>
              </w:rPr>
              <w:t>%</w:t>
            </w:r>
          </w:p>
        </w:tc>
        <w:tc>
          <w:tcPr>
            <w:tcW w:w="851" w:type="dxa"/>
            <w:vAlign w:val="center"/>
          </w:tcPr>
          <w:p w14:paraId="0EC6E97E" w14:textId="73FF2108" w:rsidR="001B18F0" w:rsidRPr="00721AE3" w:rsidRDefault="006F42CD" w:rsidP="0096454A">
            <w:pPr>
              <w:spacing w:line="276" w:lineRule="auto"/>
              <w:rPr>
                <w:rFonts w:ascii="Times New Roman" w:hAnsi="Times New Roman" w:cs="Times New Roman"/>
              </w:rPr>
            </w:pPr>
            <w:r w:rsidRPr="00721AE3">
              <w:rPr>
                <w:rFonts w:ascii="Times New Roman" w:hAnsi="Times New Roman" w:cs="Times New Roman"/>
              </w:rPr>
              <w:t>2</w:t>
            </w:r>
            <w:r w:rsidR="00683923" w:rsidRPr="00721AE3">
              <w:rPr>
                <w:rFonts w:ascii="Times New Roman" w:hAnsi="Times New Roman" w:cs="Times New Roman"/>
              </w:rPr>
              <w:t>5</w:t>
            </w:r>
          </w:p>
        </w:tc>
      </w:tr>
      <w:tr w:rsidR="00721AE3" w:rsidRPr="00721AE3" w14:paraId="02F57431" w14:textId="77777777" w:rsidTr="00DA7397">
        <w:tc>
          <w:tcPr>
            <w:tcW w:w="2660" w:type="dxa"/>
            <w:vMerge w:val="restart"/>
          </w:tcPr>
          <w:p w14:paraId="065F631B" w14:textId="41D7787E" w:rsidR="00FE42E8" w:rsidRPr="00721AE3" w:rsidRDefault="00FE42E8" w:rsidP="0096454A">
            <w:pPr>
              <w:spacing w:line="276" w:lineRule="auto"/>
              <w:rPr>
                <w:rFonts w:ascii="Times New Roman" w:hAnsi="Times New Roman" w:cs="Times New Roman"/>
              </w:rPr>
            </w:pPr>
            <w:r w:rsidRPr="00721AE3">
              <w:rPr>
                <w:rFonts w:ascii="Times New Roman" w:hAnsi="Times New Roman" w:cs="Times New Roman"/>
              </w:rPr>
              <w:t>Tra</w:t>
            </w:r>
            <w:r w:rsidR="00F509A4" w:rsidRPr="00721AE3">
              <w:rPr>
                <w:rFonts w:ascii="Times New Roman" w:hAnsi="Times New Roman" w:cs="Times New Roman"/>
              </w:rPr>
              <w:t>n</w:t>
            </w:r>
            <w:r w:rsidRPr="00721AE3">
              <w:rPr>
                <w:rFonts w:ascii="Times New Roman" w:hAnsi="Times New Roman" w:cs="Times New Roman"/>
              </w:rPr>
              <w:t xml:space="preserve">sport amenities </w:t>
            </w:r>
          </w:p>
        </w:tc>
        <w:tc>
          <w:tcPr>
            <w:tcW w:w="3719" w:type="dxa"/>
            <w:vAlign w:val="center"/>
          </w:tcPr>
          <w:p w14:paraId="1469A4FB" w14:textId="2C63287B" w:rsidR="00FE42E8" w:rsidRPr="00721AE3" w:rsidRDefault="00FE42E8"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Pr="00721AE3">
              <w:rPr>
                <w:rFonts w:ascii="Times New Roman" w:hAnsi="Times New Roman" w:cs="Times New Roman"/>
              </w:rPr>
              <w:t>bus stop (km)</w:t>
            </w:r>
          </w:p>
        </w:tc>
        <w:tc>
          <w:tcPr>
            <w:tcW w:w="1576" w:type="dxa"/>
            <w:vAlign w:val="center"/>
          </w:tcPr>
          <w:p w14:paraId="33EADE11" w14:textId="1DA31390" w:rsidR="00FE42E8" w:rsidRPr="00721AE3" w:rsidRDefault="00111796" w:rsidP="0096454A">
            <w:pPr>
              <w:spacing w:line="276" w:lineRule="auto"/>
              <w:rPr>
                <w:rFonts w:ascii="Times New Roman" w:hAnsi="Times New Roman" w:cs="Times New Roman"/>
              </w:rPr>
            </w:pPr>
            <w:r w:rsidRPr="00721AE3">
              <w:rPr>
                <w:rFonts w:ascii="Times New Roman" w:hAnsi="Times New Roman" w:cs="Times New Roman"/>
              </w:rPr>
              <w:t>0.2</w:t>
            </w:r>
            <w:r w:rsidR="008338A9" w:rsidRPr="00721AE3">
              <w:rPr>
                <w:rFonts w:ascii="Times New Roman" w:hAnsi="Times New Roman" w:cs="Times New Roman"/>
              </w:rPr>
              <w:t>4</w:t>
            </w:r>
            <w:r w:rsidR="00172DE5" w:rsidRPr="00721AE3">
              <w:rPr>
                <w:rFonts w:ascii="Times New Roman" w:hAnsi="Times New Roman" w:cs="Times New Roman"/>
              </w:rPr>
              <w:t>%</w:t>
            </w:r>
          </w:p>
        </w:tc>
        <w:tc>
          <w:tcPr>
            <w:tcW w:w="851" w:type="dxa"/>
            <w:vAlign w:val="center"/>
          </w:tcPr>
          <w:p w14:paraId="54560472" w14:textId="14324545" w:rsidR="00FE42E8" w:rsidRPr="00721AE3" w:rsidRDefault="00111796" w:rsidP="0096454A">
            <w:pPr>
              <w:spacing w:line="276" w:lineRule="auto"/>
              <w:rPr>
                <w:rFonts w:ascii="Times New Roman" w:hAnsi="Times New Roman" w:cs="Times New Roman"/>
              </w:rPr>
            </w:pPr>
            <w:r w:rsidRPr="00721AE3">
              <w:rPr>
                <w:rFonts w:ascii="Times New Roman" w:hAnsi="Times New Roman" w:cs="Times New Roman"/>
              </w:rPr>
              <w:t>2</w:t>
            </w:r>
            <w:r w:rsidR="008338A9" w:rsidRPr="00721AE3">
              <w:rPr>
                <w:rFonts w:ascii="Times New Roman" w:hAnsi="Times New Roman" w:cs="Times New Roman"/>
              </w:rPr>
              <w:t>8</w:t>
            </w:r>
          </w:p>
        </w:tc>
      </w:tr>
      <w:tr w:rsidR="00721AE3" w:rsidRPr="00721AE3" w14:paraId="42A65054" w14:textId="77777777" w:rsidTr="00DA7397">
        <w:tc>
          <w:tcPr>
            <w:tcW w:w="2660" w:type="dxa"/>
            <w:vMerge/>
          </w:tcPr>
          <w:p w14:paraId="3686A712" w14:textId="77777777" w:rsidR="00FE42E8" w:rsidRPr="00721AE3" w:rsidRDefault="00FE42E8" w:rsidP="0096454A">
            <w:pPr>
              <w:spacing w:line="276" w:lineRule="auto"/>
              <w:rPr>
                <w:rFonts w:ascii="Times New Roman" w:hAnsi="Times New Roman" w:cs="Times New Roman"/>
              </w:rPr>
            </w:pPr>
          </w:p>
        </w:tc>
        <w:tc>
          <w:tcPr>
            <w:tcW w:w="3719" w:type="dxa"/>
            <w:vAlign w:val="center"/>
          </w:tcPr>
          <w:p w14:paraId="66C4229F" w14:textId="7B0B6377" w:rsidR="00FE42E8" w:rsidRPr="00721AE3" w:rsidRDefault="00FE42E8"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Pr="00721AE3">
              <w:rPr>
                <w:rFonts w:ascii="Times New Roman" w:hAnsi="Times New Roman" w:cs="Times New Roman"/>
              </w:rPr>
              <w:t>metro station (km)</w:t>
            </w:r>
          </w:p>
        </w:tc>
        <w:tc>
          <w:tcPr>
            <w:tcW w:w="1576" w:type="dxa"/>
            <w:vAlign w:val="center"/>
          </w:tcPr>
          <w:p w14:paraId="0D7119BD" w14:textId="67982641" w:rsidR="00FE42E8" w:rsidRPr="00721AE3" w:rsidRDefault="00111796" w:rsidP="0096454A">
            <w:pPr>
              <w:spacing w:line="276" w:lineRule="auto"/>
              <w:rPr>
                <w:rFonts w:ascii="Times New Roman" w:hAnsi="Times New Roman" w:cs="Times New Roman"/>
              </w:rPr>
            </w:pPr>
            <w:r w:rsidRPr="00721AE3">
              <w:rPr>
                <w:rFonts w:ascii="Times New Roman" w:hAnsi="Times New Roman" w:cs="Times New Roman"/>
              </w:rPr>
              <w:t>1.2</w:t>
            </w:r>
            <w:r w:rsidR="002A4ECC" w:rsidRPr="00721AE3">
              <w:rPr>
                <w:rFonts w:ascii="Times New Roman" w:hAnsi="Times New Roman" w:cs="Times New Roman"/>
              </w:rPr>
              <w:t>7</w:t>
            </w:r>
            <w:r w:rsidR="00172DE5" w:rsidRPr="00721AE3">
              <w:rPr>
                <w:rFonts w:ascii="Times New Roman" w:hAnsi="Times New Roman" w:cs="Times New Roman"/>
              </w:rPr>
              <w:t>%</w:t>
            </w:r>
          </w:p>
        </w:tc>
        <w:tc>
          <w:tcPr>
            <w:tcW w:w="851" w:type="dxa"/>
            <w:vAlign w:val="center"/>
          </w:tcPr>
          <w:p w14:paraId="46F51152" w14:textId="530082AC" w:rsidR="00FE42E8" w:rsidRPr="00721AE3" w:rsidRDefault="002A4ECC" w:rsidP="0096454A">
            <w:pPr>
              <w:spacing w:line="276" w:lineRule="auto"/>
              <w:rPr>
                <w:rFonts w:ascii="Times New Roman" w:hAnsi="Times New Roman" w:cs="Times New Roman"/>
              </w:rPr>
            </w:pPr>
            <w:r w:rsidRPr="00721AE3">
              <w:rPr>
                <w:rFonts w:ascii="Times New Roman" w:hAnsi="Times New Roman" w:cs="Times New Roman"/>
              </w:rPr>
              <w:t>8</w:t>
            </w:r>
          </w:p>
        </w:tc>
      </w:tr>
      <w:tr w:rsidR="00721AE3" w:rsidRPr="00721AE3" w14:paraId="5A1A0F6C" w14:textId="77777777" w:rsidTr="00DA7397">
        <w:tc>
          <w:tcPr>
            <w:tcW w:w="2660" w:type="dxa"/>
            <w:vMerge w:val="restart"/>
          </w:tcPr>
          <w:p w14:paraId="43190694" w14:textId="3D46692D" w:rsidR="008F2E15" w:rsidRPr="00721AE3" w:rsidRDefault="00F9493F" w:rsidP="0096454A">
            <w:pPr>
              <w:spacing w:line="276" w:lineRule="auto"/>
              <w:rPr>
                <w:rFonts w:ascii="Times New Roman" w:hAnsi="Times New Roman" w:cs="Times New Roman"/>
              </w:rPr>
            </w:pPr>
            <w:r w:rsidRPr="00721AE3">
              <w:rPr>
                <w:rFonts w:ascii="Times New Roman" w:hAnsi="Times New Roman" w:cs="Times New Roman"/>
              </w:rPr>
              <w:t>Natur</w:t>
            </w:r>
            <w:r w:rsidR="00C533C5" w:rsidRPr="00721AE3">
              <w:rPr>
                <w:rFonts w:ascii="Times New Roman" w:hAnsi="Times New Roman" w:cs="Times New Roman"/>
              </w:rPr>
              <w:t>al</w:t>
            </w:r>
            <w:r w:rsidR="008F2E15" w:rsidRPr="00721AE3">
              <w:rPr>
                <w:rFonts w:ascii="Times New Roman" w:hAnsi="Times New Roman" w:cs="Times New Roman"/>
              </w:rPr>
              <w:t xml:space="preserve"> and recreational amenities</w:t>
            </w:r>
          </w:p>
        </w:tc>
        <w:tc>
          <w:tcPr>
            <w:tcW w:w="3719" w:type="dxa"/>
            <w:vAlign w:val="center"/>
          </w:tcPr>
          <w:p w14:paraId="321E3588" w14:textId="0D830490" w:rsidR="008F2E15" w:rsidRPr="00721AE3" w:rsidRDefault="008F2E15"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007C1497" w:rsidRPr="00721AE3">
              <w:rPr>
                <w:rFonts w:ascii="Times New Roman" w:hAnsi="Times New Roman" w:cs="Times New Roman"/>
              </w:rPr>
              <w:t>g</w:t>
            </w:r>
            <w:r w:rsidRPr="00721AE3">
              <w:rPr>
                <w:rFonts w:ascii="Times New Roman" w:hAnsi="Times New Roman" w:cs="Times New Roman"/>
              </w:rPr>
              <w:t>reenspace/park (km)</w:t>
            </w:r>
          </w:p>
        </w:tc>
        <w:tc>
          <w:tcPr>
            <w:tcW w:w="1576" w:type="dxa"/>
            <w:vAlign w:val="center"/>
          </w:tcPr>
          <w:p w14:paraId="4BF86D1C" w14:textId="55A1F260" w:rsidR="008F2E15" w:rsidRPr="00721AE3" w:rsidRDefault="0095668D" w:rsidP="0096454A">
            <w:pPr>
              <w:spacing w:line="276" w:lineRule="auto"/>
              <w:rPr>
                <w:rFonts w:ascii="Times New Roman" w:hAnsi="Times New Roman" w:cs="Times New Roman"/>
              </w:rPr>
            </w:pPr>
            <w:r w:rsidRPr="00721AE3">
              <w:rPr>
                <w:rFonts w:ascii="Times New Roman" w:hAnsi="Times New Roman" w:cs="Times New Roman"/>
              </w:rPr>
              <w:t>0.</w:t>
            </w:r>
            <w:r w:rsidR="00D00256" w:rsidRPr="00721AE3">
              <w:rPr>
                <w:rFonts w:ascii="Times New Roman" w:hAnsi="Times New Roman" w:cs="Times New Roman"/>
              </w:rPr>
              <w:t>1</w:t>
            </w:r>
            <w:r w:rsidR="009D02CB" w:rsidRPr="00721AE3">
              <w:rPr>
                <w:rFonts w:ascii="Times New Roman" w:hAnsi="Times New Roman" w:cs="Times New Roman"/>
              </w:rPr>
              <w:t>8</w:t>
            </w:r>
            <w:r w:rsidRPr="00721AE3">
              <w:rPr>
                <w:rFonts w:ascii="Times New Roman" w:hAnsi="Times New Roman" w:cs="Times New Roman"/>
              </w:rPr>
              <w:t>%</w:t>
            </w:r>
          </w:p>
        </w:tc>
        <w:tc>
          <w:tcPr>
            <w:tcW w:w="851" w:type="dxa"/>
            <w:vAlign w:val="center"/>
          </w:tcPr>
          <w:p w14:paraId="147EA8AF" w14:textId="40DC2A50" w:rsidR="008F2E15" w:rsidRPr="00721AE3" w:rsidRDefault="009D02CB" w:rsidP="0096454A">
            <w:pPr>
              <w:spacing w:line="276" w:lineRule="auto"/>
              <w:rPr>
                <w:rFonts w:ascii="Times New Roman" w:hAnsi="Times New Roman" w:cs="Times New Roman"/>
              </w:rPr>
            </w:pPr>
            <w:r w:rsidRPr="00721AE3">
              <w:rPr>
                <w:rFonts w:ascii="Times New Roman" w:hAnsi="Times New Roman" w:cs="Times New Roman"/>
              </w:rPr>
              <w:t>35</w:t>
            </w:r>
          </w:p>
        </w:tc>
      </w:tr>
      <w:tr w:rsidR="00721AE3" w:rsidRPr="00721AE3" w14:paraId="2176929C" w14:textId="77777777" w:rsidTr="00DA7397">
        <w:tc>
          <w:tcPr>
            <w:tcW w:w="2660" w:type="dxa"/>
            <w:vMerge/>
          </w:tcPr>
          <w:p w14:paraId="3FCB5D2F" w14:textId="77777777" w:rsidR="008F2E15" w:rsidRPr="00721AE3" w:rsidRDefault="008F2E15" w:rsidP="0096454A">
            <w:pPr>
              <w:spacing w:line="276" w:lineRule="auto"/>
              <w:rPr>
                <w:rFonts w:ascii="Times New Roman" w:hAnsi="Times New Roman" w:cs="Times New Roman"/>
              </w:rPr>
            </w:pPr>
          </w:p>
        </w:tc>
        <w:tc>
          <w:tcPr>
            <w:tcW w:w="3719" w:type="dxa"/>
            <w:vAlign w:val="center"/>
          </w:tcPr>
          <w:p w14:paraId="77C29CC0" w14:textId="0F1845E2" w:rsidR="008F2E15" w:rsidRPr="00721AE3" w:rsidRDefault="008F2E15"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007C1497" w:rsidRPr="00721AE3">
              <w:rPr>
                <w:rFonts w:ascii="Times New Roman" w:hAnsi="Times New Roman" w:cs="Times New Roman"/>
              </w:rPr>
              <w:t>s</w:t>
            </w:r>
            <w:r w:rsidRPr="00721AE3">
              <w:rPr>
                <w:rFonts w:ascii="Times New Roman" w:hAnsi="Times New Roman" w:cs="Times New Roman"/>
              </w:rPr>
              <w:t xml:space="preserve">cenic </w:t>
            </w:r>
            <w:r w:rsidR="007C1497" w:rsidRPr="00721AE3">
              <w:rPr>
                <w:rFonts w:ascii="Times New Roman" w:hAnsi="Times New Roman" w:cs="Times New Roman"/>
              </w:rPr>
              <w:t>s</w:t>
            </w:r>
            <w:r w:rsidRPr="00721AE3">
              <w:rPr>
                <w:rFonts w:ascii="Times New Roman" w:hAnsi="Times New Roman" w:cs="Times New Roman"/>
              </w:rPr>
              <w:t>pot (km)</w:t>
            </w:r>
          </w:p>
        </w:tc>
        <w:tc>
          <w:tcPr>
            <w:tcW w:w="1576" w:type="dxa"/>
            <w:vAlign w:val="center"/>
          </w:tcPr>
          <w:p w14:paraId="0004794D" w14:textId="6E00E84F" w:rsidR="008F2E15" w:rsidRPr="00721AE3" w:rsidRDefault="00230C30" w:rsidP="0096454A">
            <w:pPr>
              <w:spacing w:line="276" w:lineRule="auto"/>
              <w:rPr>
                <w:rFonts w:ascii="Times New Roman" w:hAnsi="Times New Roman" w:cs="Times New Roman"/>
              </w:rPr>
            </w:pPr>
            <w:r w:rsidRPr="00721AE3">
              <w:rPr>
                <w:rFonts w:ascii="Times New Roman" w:hAnsi="Times New Roman" w:cs="Times New Roman"/>
              </w:rPr>
              <w:t>0.</w:t>
            </w:r>
            <w:r w:rsidR="0072334A" w:rsidRPr="00721AE3">
              <w:rPr>
                <w:rFonts w:ascii="Times New Roman" w:hAnsi="Times New Roman" w:cs="Times New Roman"/>
              </w:rPr>
              <w:t>19</w:t>
            </w:r>
            <w:r w:rsidRPr="00721AE3">
              <w:rPr>
                <w:rFonts w:ascii="Times New Roman" w:hAnsi="Times New Roman" w:cs="Times New Roman"/>
              </w:rPr>
              <w:t>%</w:t>
            </w:r>
          </w:p>
        </w:tc>
        <w:tc>
          <w:tcPr>
            <w:tcW w:w="851" w:type="dxa"/>
            <w:vAlign w:val="center"/>
          </w:tcPr>
          <w:p w14:paraId="46AE22B7" w14:textId="33DCFEE9" w:rsidR="008F2E15" w:rsidRPr="00721AE3" w:rsidRDefault="006D7BD9" w:rsidP="0096454A">
            <w:pPr>
              <w:spacing w:line="276" w:lineRule="auto"/>
              <w:rPr>
                <w:rFonts w:ascii="Times New Roman" w:hAnsi="Times New Roman" w:cs="Times New Roman"/>
              </w:rPr>
            </w:pPr>
            <w:r w:rsidRPr="00721AE3">
              <w:rPr>
                <w:rFonts w:ascii="Times New Roman" w:hAnsi="Times New Roman" w:cs="Times New Roman"/>
              </w:rPr>
              <w:t>3</w:t>
            </w:r>
            <w:r w:rsidR="0072334A" w:rsidRPr="00721AE3">
              <w:rPr>
                <w:rFonts w:ascii="Times New Roman" w:hAnsi="Times New Roman" w:cs="Times New Roman"/>
              </w:rPr>
              <w:t>3</w:t>
            </w:r>
          </w:p>
        </w:tc>
      </w:tr>
      <w:tr w:rsidR="00721AE3" w:rsidRPr="00721AE3" w14:paraId="49CAE080" w14:textId="77777777" w:rsidTr="00DA7397">
        <w:tc>
          <w:tcPr>
            <w:tcW w:w="2660" w:type="dxa"/>
            <w:vMerge/>
          </w:tcPr>
          <w:p w14:paraId="024F8441" w14:textId="77777777" w:rsidR="008F2E15" w:rsidRPr="00721AE3" w:rsidRDefault="008F2E15" w:rsidP="0096454A">
            <w:pPr>
              <w:spacing w:line="276" w:lineRule="auto"/>
              <w:rPr>
                <w:rFonts w:ascii="Times New Roman" w:hAnsi="Times New Roman" w:cs="Times New Roman"/>
              </w:rPr>
            </w:pPr>
          </w:p>
        </w:tc>
        <w:tc>
          <w:tcPr>
            <w:tcW w:w="3719" w:type="dxa"/>
            <w:vAlign w:val="center"/>
          </w:tcPr>
          <w:p w14:paraId="3F916936" w14:textId="76D71BDC" w:rsidR="008F2E15" w:rsidRPr="00721AE3" w:rsidRDefault="008F2E15"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00843653" w:rsidRPr="00721AE3">
              <w:rPr>
                <w:rFonts w:ascii="Times New Roman" w:hAnsi="Times New Roman" w:cs="Times New Roman"/>
              </w:rPr>
              <w:t>leisure/sport (km)</w:t>
            </w:r>
          </w:p>
        </w:tc>
        <w:tc>
          <w:tcPr>
            <w:tcW w:w="1576" w:type="dxa"/>
            <w:vAlign w:val="center"/>
          </w:tcPr>
          <w:p w14:paraId="487E0DEB" w14:textId="402BECD0" w:rsidR="008F2E15" w:rsidRPr="00721AE3" w:rsidRDefault="00143812" w:rsidP="0096454A">
            <w:pPr>
              <w:spacing w:line="276" w:lineRule="auto"/>
              <w:rPr>
                <w:rFonts w:ascii="Times New Roman" w:hAnsi="Times New Roman" w:cs="Times New Roman"/>
              </w:rPr>
            </w:pPr>
            <w:r w:rsidRPr="00721AE3">
              <w:rPr>
                <w:rFonts w:ascii="Times New Roman" w:hAnsi="Times New Roman" w:cs="Times New Roman"/>
              </w:rPr>
              <w:t>0.</w:t>
            </w:r>
            <w:r w:rsidR="00111796" w:rsidRPr="00721AE3">
              <w:rPr>
                <w:rFonts w:ascii="Times New Roman" w:hAnsi="Times New Roman" w:cs="Times New Roman"/>
              </w:rPr>
              <w:t>1</w:t>
            </w:r>
            <w:r w:rsidR="0072334A" w:rsidRPr="00721AE3">
              <w:rPr>
                <w:rFonts w:ascii="Times New Roman" w:hAnsi="Times New Roman" w:cs="Times New Roman"/>
              </w:rPr>
              <w:t>6</w:t>
            </w:r>
            <w:r w:rsidRPr="00721AE3">
              <w:rPr>
                <w:rFonts w:ascii="Times New Roman" w:hAnsi="Times New Roman" w:cs="Times New Roman"/>
              </w:rPr>
              <w:t>%</w:t>
            </w:r>
          </w:p>
        </w:tc>
        <w:tc>
          <w:tcPr>
            <w:tcW w:w="851" w:type="dxa"/>
            <w:vAlign w:val="center"/>
          </w:tcPr>
          <w:p w14:paraId="26E8BDEC" w14:textId="7028BBEE" w:rsidR="008F2E15" w:rsidRPr="00721AE3" w:rsidRDefault="00D00256" w:rsidP="0096454A">
            <w:pPr>
              <w:spacing w:line="276" w:lineRule="auto"/>
              <w:rPr>
                <w:rFonts w:ascii="Times New Roman" w:hAnsi="Times New Roman" w:cs="Times New Roman"/>
              </w:rPr>
            </w:pPr>
            <w:r w:rsidRPr="00721AE3">
              <w:rPr>
                <w:rFonts w:ascii="Times New Roman" w:hAnsi="Times New Roman" w:cs="Times New Roman"/>
              </w:rPr>
              <w:t>3</w:t>
            </w:r>
            <w:r w:rsidR="0072334A" w:rsidRPr="00721AE3">
              <w:rPr>
                <w:rFonts w:ascii="Times New Roman" w:hAnsi="Times New Roman" w:cs="Times New Roman"/>
              </w:rPr>
              <w:t>6</w:t>
            </w:r>
          </w:p>
        </w:tc>
      </w:tr>
      <w:tr w:rsidR="00721AE3" w:rsidRPr="00721AE3" w14:paraId="573A77FA" w14:textId="77777777" w:rsidTr="00DA7397">
        <w:tc>
          <w:tcPr>
            <w:tcW w:w="2660" w:type="dxa"/>
            <w:vMerge w:val="restart"/>
          </w:tcPr>
          <w:p w14:paraId="599D8E30" w14:textId="4730FBE3" w:rsidR="0011226A" w:rsidRPr="00721AE3" w:rsidRDefault="0011226A" w:rsidP="0096454A">
            <w:pPr>
              <w:spacing w:line="276" w:lineRule="auto"/>
              <w:rPr>
                <w:rFonts w:ascii="Times New Roman" w:hAnsi="Times New Roman" w:cs="Times New Roman"/>
              </w:rPr>
            </w:pPr>
            <w:r w:rsidRPr="00721AE3">
              <w:rPr>
                <w:rFonts w:ascii="Times New Roman" w:hAnsi="Times New Roman" w:cs="Times New Roman"/>
              </w:rPr>
              <w:t>Healthca</w:t>
            </w:r>
            <w:r w:rsidR="00C533C5" w:rsidRPr="00721AE3">
              <w:rPr>
                <w:rFonts w:ascii="Times New Roman" w:hAnsi="Times New Roman" w:cs="Times New Roman"/>
              </w:rPr>
              <w:t>re</w:t>
            </w:r>
            <w:r w:rsidR="006E417B" w:rsidRPr="00721AE3">
              <w:rPr>
                <w:rFonts w:ascii="Times New Roman" w:hAnsi="Times New Roman" w:cs="Times New Roman"/>
              </w:rPr>
              <w:t xml:space="preserve"> </w:t>
            </w:r>
            <w:r w:rsidRPr="00721AE3">
              <w:rPr>
                <w:rFonts w:ascii="Times New Roman" w:hAnsi="Times New Roman" w:cs="Times New Roman"/>
              </w:rPr>
              <w:t>services</w:t>
            </w:r>
            <w:r w:rsidR="007758DE" w:rsidRPr="00721AE3">
              <w:rPr>
                <w:rFonts w:ascii="Times New Roman" w:hAnsi="Times New Roman" w:cs="Times New Roman"/>
              </w:rPr>
              <w:t xml:space="preserve"> </w:t>
            </w:r>
          </w:p>
        </w:tc>
        <w:tc>
          <w:tcPr>
            <w:tcW w:w="3719" w:type="dxa"/>
            <w:vAlign w:val="center"/>
          </w:tcPr>
          <w:p w14:paraId="0C64A673" w14:textId="1351632E" w:rsidR="0011226A" w:rsidRPr="00721AE3" w:rsidRDefault="0011226A" w:rsidP="0096454A">
            <w:pPr>
              <w:spacing w:line="276" w:lineRule="auto"/>
              <w:rPr>
                <w:rFonts w:ascii="Times New Roman" w:hAnsi="Times New Roman" w:cs="Times New Roman"/>
              </w:rPr>
            </w:pPr>
            <w:r w:rsidRPr="00721AE3">
              <w:rPr>
                <w:rFonts w:ascii="Times New Roman" w:hAnsi="Times New Roman" w:cs="Times New Roman"/>
              </w:rPr>
              <w:t>Distance to hospital (km)</w:t>
            </w:r>
          </w:p>
        </w:tc>
        <w:tc>
          <w:tcPr>
            <w:tcW w:w="1576" w:type="dxa"/>
            <w:vAlign w:val="center"/>
          </w:tcPr>
          <w:p w14:paraId="0C52498B" w14:textId="44585A4A" w:rsidR="0011226A" w:rsidRPr="00721AE3" w:rsidRDefault="00E97B0D" w:rsidP="0096454A">
            <w:pPr>
              <w:spacing w:line="276" w:lineRule="auto"/>
              <w:rPr>
                <w:rFonts w:ascii="Times New Roman" w:hAnsi="Times New Roman" w:cs="Times New Roman"/>
              </w:rPr>
            </w:pPr>
            <w:r w:rsidRPr="00721AE3">
              <w:rPr>
                <w:rFonts w:ascii="Times New Roman" w:hAnsi="Times New Roman" w:cs="Times New Roman"/>
              </w:rPr>
              <w:t>0.</w:t>
            </w:r>
            <w:r w:rsidR="0072334A" w:rsidRPr="00721AE3">
              <w:rPr>
                <w:rFonts w:ascii="Times New Roman" w:hAnsi="Times New Roman" w:cs="Times New Roman"/>
              </w:rPr>
              <w:t>32</w:t>
            </w:r>
            <w:r w:rsidR="00F509A4" w:rsidRPr="00721AE3">
              <w:rPr>
                <w:rFonts w:ascii="Times New Roman" w:hAnsi="Times New Roman" w:cs="Times New Roman"/>
              </w:rPr>
              <w:t>%</w:t>
            </w:r>
          </w:p>
        </w:tc>
        <w:tc>
          <w:tcPr>
            <w:tcW w:w="851" w:type="dxa"/>
            <w:vAlign w:val="center"/>
          </w:tcPr>
          <w:p w14:paraId="4BDC2313" w14:textId="59623FCD" w:rsidR="0011226A" w:rsidRPr="00721AE3" w:rsidRDefault="009B1093" w:rsidP="0096454A">
            <w:pPr>
              <w:spacing w:line="276" w:lineRule="auto"/>
              <w:rPr>
                <w:rFonts w:ascii="Times New Roman" w:hAnsi="Times New Roman" w:cs="Times New Roman"/>
              </w:rPr>
            </w:pPr>
            <w:r w:rsidRPr="00721AE3">
              <w:rPr>
                <w:rFonts w:ascii="Times New Roman" w:hAnsi="Times New Roman" w:cs="Times New Roman"/>
              </w:rPr>
              <w:t>1</w:t>
            </w:r>
            <w:r w:rsidR="0072334A" w:rsidRPr="00721AE3">
              <w:rPr>
                <w:rFonts w:ascii="Times New Roman" w:hAnsi="Times New Roman" w:cs="Times New Roman"/>
              </w:rPr>
              <w:t>8</w:t>
            </w:r>
          </w:p>
        </w:tc>
      </w:tr>
      <w:tr w:rsidR="00721AE3" w:rsidRPr="00721AE3" w14:paraId="2EAF6C8A" w14:textId="77777777" w:rsidTr="00DA7397">
        <w:tc>
          <w:tcPr>
            <w:tcW w:w="2660" w:type="dxa"/>
            <w:vMerge/>
          </w:tcPr>
          <w:p w14:paraId="79A4877F" w14:textId="77777777" w:rsidR="007758DE" w:rsidRPr="00721AE3" w:rsidRDefault="007758DE" w:rsidP="0096454A">
            <w:pPr>
              <w:spacing w:line="276" w:lineRule="auto"/>
              <w:rPr>
                <w:rFonts w:ascii="Times New Roman" w:hAnsi="Times New Roman" w:cs="Times New Roman"/>
              </w:rPr>
            </w:pPr>
          </w:p>
        </w:tc>
        <w:tc>
          <w:tcPr>
            <w:tcW w:w="3719" w:type="dxa"/>
            <w:vAlign w:val="center"/>
          </w:tcPr>
          <w:p w14:paraId="37EEFEBC" w14:textId="560794D1" w:rsidR="007758DE" w:rsidRPr="00721AE3" w:rsidRDefault="007758DE"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Pr="00721AE3">
              <w:rPr>
                <w:rFonts w:ascii="Times New Roman" w:hAnsi="Times New Roman" w:cs="Times New Roman"/>
              </w:rPr>
              <w:t>clinic (km)</w:t>
            </w:r>
          </w:p>
        </w:tc>
        <w:tc>
          <w:tcPr>
            <w:tcW w:w="1576" w:type="dxa"/>
            <w:vAlign w:val="center"/>
          </w:tcPr>
          <w:p w14:paraId="66AF45D7" w14:textId="29367BAF" w:rsidR="007758DE" w:rsidRPr="00721AE3" w:rsidRDefault="00E97B0D" w:rsidP="0096454A">
            <w:pPr>
              <w:spacing w:line="276" w:lineRule="auto"/>
              <w:rPr>
                <w:rFonts w:ascii="Times New Roman" w:hAnsi="Times New Roman" w:cs="Times New Roman"/>
              </w:rPr>
            </w:pPr>
            <w:r w:rsidRPr="00721AE3">
              <w:rPr>
                <w:rFonts w:ascii="Times New Roman" w:hAnsi="Times New Roman" w:cs="Times New Roman"/>
              </w:rPr>
              <w:t>0.</w:t>
            </w:r>
            <w:r w:rsidR="006D7BD9" w:rsidRPr="00721AE3">
              <w:rPr>
                <w:rFonts w:ascii="Times New Roman" w:hAnsi="Times New Roman" w:cs="Times New Roman"/>
              </w:rPr>
              <w:t>2</w:t>
            </w:r>
            <w:r w:rsidR="0017432A" w:rsidRPr="00721AE3">
              <w:rPr>
                <w:rFonts w:ascii="Times New Roman" w:hAnsi="Times New Roman" w:cs="Times New Roman"/>
              </w:rPr>
              <w:t>6</w:t>
            </w:r>
            <w:r w:rsidRPr="00721AE3">
              <w:rPr>
                <w:rFonts w:ascii="Times New Roman" w:hAnsi="Times New Roman" w:cs="Times New Roman"/>
              </w:rPr>
              <w:t>%</w:t>
            </w:r>
          </w:p>
        </w:tc>
        <w:tc>
          <w:tcPr>
            <w:tcW w:w="851" w:type="dxa"/>
            <w:vAlign w:val="center"/>
          </w:tcPr>
          <w:p w14:paraId="6D17373F" w14:textId="2A33A4BE" w:rsidR="007758DE" w:rsidRPr="00721AE3" w:rsidRDefault="009B1093" w:rsidP="0096454A">
            <w:pPr>
              <w:spacing w:line="276" w:lineRule="auto"/>
              <w:rPr>
                <w:rFonts w:ascii="Times New Roman" w:hAnsi="Times New Roman" w:cs="Times New Roman"/>
              </w:rPr>
            </w:pPr>
            <w:r w:rsidRPr="00721AE3">
              <w:rPr>
                <w:rFonts w:ascii="Times New Roman" w:hAnsi="Times New Roman" w:cs="Times New Roman"/>
              </w:rPr>
              <w:t>2</w:t>
            </w:r>
            <w:r w:rsidR="0017432A" w:rsidRPr="00721AE3">
              <w:rPr>
                <w:rFonts w:ascii="Times New Roman" w:hAnsi="Times New Roman" w:cs="Times New Roman"/>
              </w:rPr>
              <w:t>2</w:t>
            </w:r>
          </w:p>
        </w:tc>
      </w:tr>
      <w:tr w:rsidR="00721AE3" w:rsidRPr="00721AE3" w14:paraId="79155913" w14:textId="77777777" w:rsidTr="00DA7397">
        <w:tc>
          <w:tcPr>
            <w:tcW w:w="2660" w:type="dxa"/>
            <w:vMerge w:val="restart"/>
          </w:tcPr>
          <w:p w14:paraId="5E406DAB" w14:textId="00E826F5" w:rsidR="0083267A" w:rsidRPr="00721AE3" w:rsidRDefault="0083267A" w:rsidP="0096454A">
            <w:pPr>
              <w:spacing w:line="276" w:lineRule="auto"/>
              <w:rPr>
                <w:rFonts w:ascii="Times New Roman" w:hAnsi="Times New Roman" w:cs="Times New Roman"/>
              </w:rPr>
            </w:pPr>
            <w:r w:rsidRPr="00721AE3">
              <w:rPr>
                <w:rFonts w:ascii="Times New Roman" w:hAnsi="Times New Roman" w:cs="Times New Roman"/>
              </w:rPr>
              <w:t>Commercial &amp; Retail Amenities</w:t>
            </w:r>
          </w:p>
        </w:tc>
        <w:tc>
          <w:tcPr>
            <w:tcW w:w="3719" w:type="dxa"/>
            <w:vAlign w:val="center"/>
          </w:tcPr>
          <w:p w14:paraId="68BC3008" w14:textId="5A77DCD7" w:rsidR="0083267A" w:rsidRPr="00721AE3" w:rsidRDefault="0083267A"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Pr="00721AE3">
              <w:rPr>
                <w:rFonts w:ascii="Times New Roman" w:hAnsi="Times New Roman" w:cs="Times New Roman"/>
              </w:rPr>
              <w:t>shopping mall (km)</w:t>
            </w:r>
          </w:p>
        </w:tc>
        <w:tc>
          <w:tcPr>
            <w:tcW w:w="1576" w:type="dxa"/>
            <w:vAlign w:val="center"/>
          </w:tcPr>
          <w:p w14:paraId="168B86DD" w14:textId="1A43E165" w:rsidR="0083267A" w:rsidRPr="00721AE3" w:rsidRDefault="00143812" w:rsidP="0096454A">
            <w:pPr>
              <w:spacing w:line="276" w:lineRule="auto"/>
              <w:rPr>
                <w:rFonts w:ascii="Times New Roman" w:hAnsi="Times New Roman" w:cs="Times New Roman"/>
              </w:rPr>
            </w:pPr>
            <w:r w:rsidRPr="00721AE3">
              <w:rPr>
                <w:rFonts w:ascii="Times New Roman" w:hAnsi="Times New Roman" w:cs="Times New Roman"/>
              </w:rPr>
              <w:t>0.1</w:t>
            </w:r>
            <w:r w:rsidR="0017432A" w:rsidRPr="00721AE3">
              <w:rPr>
                <w:rFonts w:ascii="Times New Roman" w:hAnsi="Times New Roman" w:cs="Times New Roman"/>
              </w:rPr>
              <w:t>3</w:t>
            </w:r>
            <w:r w:rsidRPr="00721AE3">
              <w:rPr>
                <w:rFonts w:ascii="Times New Roman" w:hAnsi="Times New Roman" w:cs="Times New Roman"/>
              </w:rPr>
              <w:t>%</w:t>
            </w:r>
          </w:p>
        </w:tc>
        <w:tc>
          <w:tcPr>
            <w:tcW w:w="851" w:type="dxa"/>
            <w:vAlign w:val="center"/>
          </w:tcPr>
          <w:p w14:paraId="01C18B9B" w14:textId="392AA766" w:rsidR="0083267A" w:rsidRPr="00721AE3" w:rsidRDefault="009B1093" w:rsidP="0096454A">
            <w:pPr>
              <w:spacing w:line="276" w:lineRule="auto"/>
              <w:rPr>
                <w:rFonts w:ascii="Times New Roman" w:hAnsi="Times New Roman" w:cs="Times New Roman"/>
              </w:rPr>
            </w:pPr>
            <w:r w:rsidRPr="00721AE3">
              <w:rPr>
                <w:rFonts w:ascii="Times New Roman" w:hAnsi="Times New Roman" w:cs="Times New Roman"/>
              </w:rPr>
              <w:t>3</w:t>
            </w:r>
            <w:r w:rsidR="00850084" w:rsidRPr="00721AE3">
              <w:rPr>
                <w:rFonts w:ascii="Times New Roman" w:hAnsi="Times New Roman" w:cs="Times New Roman"/>
              </w:rPr>
              <w:t>8</w:t>
            </w:r>
          </w:p>
        </w:tc>
      </w:tr>
      <w:tr w:rsidR="00721AE3" w:rsidRPr="00721AE3" w14:paraId="3B7FFCF1" w14:textId="77777777" w:rsidTr="00DA7397">
        <w:tc>
          <w:tcPr>
            <w:tcW w:w="2660" w:type="dxa"/>
            <w:vMerge/>
            <w:vAlign w:val="center"/>
          </w:tcPr>
          <w:p w14:paraId="74981D36" w14:textId="77777777" w:rsidR="0083267A" w:rsidRPr="00721AE3" w:rsidRDefault="0083267A" w:rsidP="0096454A">
            <w:pPr>
              <w:spacing w:line="276" w:lineRule="auto"/>
              <w:rPr>
                <w:rFonts w:ascii="Times New Roman" w:hAnsi="Times New Roman" w:cs="Times New Roman"/>
              </w:rPr>
            </w:pPr>
          </w:p>
        </w:tc>
        <w:tc>
          <w:tcPr>
            <w:tcW w:w="3719" w:type="dxa"/>
            <w:vAlign w:val="center"/>
          </w:tcPr>
          <w:p w14:paraId="0AA58CAB" w14:textId="7FF4148F" w:rsidR="0083267A" w:rsidRPr="00721AE3" w:rsidRDefault="0083267A"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Pr="00721AE3">
              <w:rPr>
                <w:rFonts w:ascii="Times New Roman" w:hAnsi="Times New Roman" w:cs="Times New Roman"/>
              </w:rPr>
              <w:t>restaurant (km)</w:t>
            </w:r>
          </w:p>
        </w:tc>
        <w:tc>
          <w:tcPr>
            <w:tcW w:w="1576" w:type="dxa"/>
            <w:vAlign w:val="center"/>
          </w:tcPr>
          <w:p w14:paraId="0C122CE7" w14:textId="3464C760" w:rsidR="0083267A" w:rsidRPr="00721AE3" w:rsidRDefault="008A6E18" w:rsidP="0096454A">
            <w:pPr>
              <w:spacing w:line="276" w:lineRule="auto"/>
              <w:rPr>
                <w:rFonts w:ascii="Times New Roman" w:hAnsi="Times New Roman" w:cs="Times New Roman"/>
              </w:rPr>
            </w:pPr>
            <w:r w:rsidRPr="00721AE3">
              <w:rPr>
                <w:rFonts w:ascii="Times New Roman" w:hAnsi="Times New Roman" w:cs="Times New Roman"/>
              </w:rPr>
              <w:t>0.2</w:t>
            </w:r>
            <w:r w:rsidR="00850084" w:rsidRPr="00721AE3">
              <w:rPr>
                <w:rFonts w:ascii="Times New Roman" w:hAnsi="Times New Roman" w:cs="Times New Roman"/>
              </w:rPr>
              <w:t>5</w:t>
            </w:r>
            <w:r w:rsidRPr="00721AE3">
              <w:rPr>
                <w:rFonts w:ascii="Times New Roman" w:hAnsi="Times New Roman" w:cs="Times New Roman"/>
              </w:rPr>
              <w:t>%</w:t>
            </w:r>
          </w:p>
        </w:tc>
        <w:tc>
          <w:tcPr>
            <w:tcW w:w="851" w:type="dxa"/>
            <w:vAlign w:val="center"/>
          </w:tcPr>
          <w:p w14:paraId="305156E9" w14:textId="1941871E" w:rsidR="0083267A" w:rsidRPr="00721AE3" w:rsidRDefault="00B6128E" w:rsidP="0096454A">
            <w:pPr>
              <w:spacing w:line="276" w:lineRule="auto"/>
              <w:rPr>
                <w:rFonts w:ascii="Times New Roman" w:hAnsi="Times New Roman" w:cs="Times New Roman"/>
              </w:rPr>
            </w:pPr>
            <w:r w:rsidRPr="00721AE3">
              <w:rPr>
                <w:rFonts w:ascii="Times New Roman" w:hAnsi="Times New Roman" w:cs="Times New Roman"/>
              </w:rPr>
              <w:t>2</w:t>
            </w:r>
            <w:r w:rsidR="00850084" w:rsidRPr="00721AE3">
              <w:rPr>
                <w:rFonts w:ascii="Times New Roman" w:hAnsi="Times New Roman" w:cs="Times New Roman"/>
              </w:rPr>
              <w:t>5</w:t>
            </w:r>
          </w:p>
        </w:tc>
      </w:tr>
      <w:tr w:rsidR="00721AE3" w:rsidRPr="00721AE3" w14:paraId="0B493644" w14:textId="77777777" w:rsidTr="00DA7397">
        <w:tc>
          <w:tcPr>
            <w:tcW w:w="2660" w:type="dxa"/>
            <w:vMerge/>
            <w:tcBorders>
              <w:bottom w:val="single" w:sz="4" w:space="0" w:color="auto"/>
            </w:tcBorders>
            <w:vAlign w:val="center"/>
          </w:tcPr>
          <w:p w14:paraId="336FBA78" w14:textId="77777777" w:rsidR="0083267A" w:rsidRPr="00721AE3" w:rsidRDefault="0083267A" w:rsidP="0096454A">
            <w:pPr>
              <w:spacing w:line="276" w:lineRule="auto"/>
              <w:rPr>
                <w:rFonts w:ascii="Times New Roman" w:hAnsi="Times New Roman" w:cs="Times New Roman"/>
              </w:rPr>
            </w:pPr>
          </w:p>
        </w:tc>
        <w:tc>
          <w:tcPr>
            <w:tcW w:w="3719" w:type="dxa"/>
            <w:tcBorders>
              <w:bottom w:val="single" w:sz="4" w:space="0" w:color="auto"/>
            </w:tcBorders>
            <w:vAlign w:val="center"/>
          </w:tcPr>
          <w:p w14:paraId="60514EDB" w14:textId="60DB334D" w:rsidR="0083267A" w:rsidRPr="00721AE3" w:rsidRDefault="0083267A" w:rsidP="0096454A">
            <w:pPr>
              <w:spacing w:line="276" w:lineRule="auto"/>
              <w:rPr>
                <w:rFonts w:ascii="Times New Roman" w:hAnsi="Times New Roman" w:cs="Times New Roman"/>
              </w:rPr>
            </w:pPr>
            <w:r w:rsidRPr="00721AE3">
              <w:rPr>
                <w:rFonts w:ascii="Times New Roman" w:hAnsi="Times New Roman" w:cs="Times New Roman"/>
              </w:rPr>
              <w:t>Distance to</w:t>
            </w:r>
            <w:r w:rsidR="002F366F" w:rsidRPr="00721AE3">
              <w:rPr>
                <w:rFonts w:ascii="Times New Roman" w:hAnsi="Times New Roman" w:cs="Times New Roman"/>
              </w:rPr>
              <w:t xml:space="preserve"> </w:t>
            </w:r>
            <w:r w:rsidRPr="00721AE3">
              <w:rPr>
                <w:rFonts w:ascii="Times New Roman" w:hAnsi="Times New Roman" w:cs="Times New Roman"/>
              </w:rPr>
              <w:t>hotel (km)</w:t>
            </w:r>
          </w:p>
        </w:tc>
        <w:tc>
          <w:tcPr>
            <w:tcW w:w="1576" w:type="dxa"/>
            <w:tcBorders>
              <w:bottom w:val="single" w:sz="4" w:space="0" w:color="auto"/>
            </w:tcBorders>
            <w:vAlign w:val="center"/>
          </w:tcPr>
          <w:p w14:paraId="2A4B096B" w14:textId="01E94A31" w:rsidR="0083267A" w:rsidRPr="00721AE3" w:rsidRDefault="00B6128E" w:rsidP="0096454A">
            <w:pPr>
              <w:spacing w:line="276" w:lineRule="auto"/>
              <w:rPr>
                <w:rFonts w:ascii="Times New Roman" w:hAnsi="Times New Roman" w:cs="Times New Roman"/>
              </w:rPr>
            </w:pPr>
            <w:r w:rsidRPr="00721AE3">
              <w:rPr>
                <w:rFonts w:ascii="Times New Roman" w:hAnsi="Times New Roman" w:cs="Times New Roman"/>
              </w:rPr>
              <w:t>1.</w:t>
            </w:r>
            <w:r w:rsidR="00850084" w:rsidRPr="00721AE3">
              <w:rPr>
                <w:rFonts w:ascii="Times New Roman" w:hAnsi="Times New Roman" w:cs="Times New Roman"/>
              </w:rPr>
              <w:t>18</w:t>
            </w:r>
            <w:r w:rsidR="008E1DB4" w:rsidRPr="00721AE3">
              <w:rPr>
                <w:rFonts w:ascii="Times New Roman" w:hAnsi="Times New Roman" w:cs="Times New Roman"/>
              </w:rPr>
              <w:t>%</w:t>
            </w:r>
          </w:p>
        </w:tc>
        <w:tc>
          <w:tcPr>
            <w:tcW w:w="851" w:type="dxa"/>
            <w:tcBorders>
              <w:bottom w:val="single" w:sz="4" w:space="0" w:color="auto"/>
            </w:tcBorders>
            <w:vAlign w:val="center"/>
          </w:tcPr>
          <w:p w14:paraId="1BB509E4" w14:textId="6DCFE76E" w:rsidR="0083267A" w:rsidRPr="00721AE3" w:rsidRDefault="000D35D7" w:rsidP="0096454A">
            <w:pPr>
              <w:spacing w:line="276" w:lineRule="auto"/>
              <w:rPr>
                <w:rFonts w:ascii="Times New Roman" w:hAnsi="Times New Roman" w:cs="Times New Roman"/>
              </w:rPr>
            </w:pPr>
            <w:r w:rsidRPr="00721AE3">
              <w:rPr>
                <w:rFonts w:ascii="Times New Roman" w:hAnsi="Times New Roman" w:cs="Times New Roman"/>
              </w:rPr>
              <w:t>9</w:t>
            </w:r>
          </w:p>
        </w:tc>
      </w:tr>
    </w:tbl>
    <w:p w14:paraId="7DB44737" w14:textId="5D56536C" w:rsidR="00974C67" w:rsidRPr="00721AE3" w:rsidRDefault="00085B1F" w:rsidP="0096454A">
      <w:pPr>
        <w:spacing w:line="240" w:lineRule="auto"/>
        <w:ind w:left="567" w:hanging="567"/>
        <w:jc w:val="both"/>
        <w:rPr>
          <w:rFonts w:ascii="Times New Roman" w:hAnsi="Times New Roman" w:cs="Times New Roman"/>
        </w:rPr>
      </w:pPr>
      <w:r w:rsidRPr="00721AE3">
        <w:rPr>
          <w:rFonts w:ascii="Times New Roman" w:hAnsi="Times New Roman" w:cs="Times New Roman"/>
        </w:rPr>
        <w:t xml:space="preserve">Note: </w:t>
      </w:r>
      <w:r w:rsidR="004C52A6" w:rsidRPr="00721AE3">
        <w:rPr>
          <w:rFonts w:ascii="Times New Roman" w:hAnsi="Times New Roman" w:cs="Times New Roman"/>
        </w:rPr>
        <w:t>Above are the global feature importance values for the selected variable</w:t>
      </w:r>
      <w:r w:rsidR="004B39D9" w:rsidRPr="00721AE3">
        <w:rPr>
          <w:rFonts w:ascii="Times New Roman" w:hAnsi="Times New Roman" w:cs="Times New Roman"/>
        </w:rPr>
        <w:t>s</w:t>
      </w:r>
      <w:r w:rsidR="004C52A6" w:rsidRPr="00721AE3">
        <w:rPr>
          <w:rFonts w:ascii="Times New Roman" w:hAnsi="Times New Roman" w:cs="Times New Roman"/>
        </w:rPr>
        <w:t xml:space="preserve"> of interest. For full global feature importance results, see Appendix </w:t>
      </w:r>
      <w:r w:rsidR="001E167A" w:rsidRPr="00721AE3">
        <w:rPr>
          <w:rFonts w:ascii="Times New Roman" w:hAnsi="Times New Roman" w:cs="Times New Roman"/>
        </w:rPr>
        <w:t>2</w:t>
      </w:r>
      <w:r w:rsidR="004C52A6" w:rsidRPr="00721AE3">
        <w:rPr>
          <w:rFonts w:ascii="Times New Roman" w:hAnsi="Times New Roman" w:cs="Times New Roman"/>
        </w:rPr>
        <w:t>.</w:t>
      </w:r>
    </w:p>
    <w:p w14:paraId="4AE27333" w14:textId="77777777" w:rsidR="0096646F" w:rsidRPr="00721AE3" w:rsidRDefault="0096646F" w:rsidP="0096646F">
      <w:pPr>
        <w:spacing w:after="0" w:line="240" w:lineRule="auto"/>
        <w:ind w:left="567" w:hanging="567"/>
        <w:jc w:val="both"/>
        <w:rPr>
          <w:rFonts w:ascii="Times New Roman" w:hAnsi="Times New Roman" w:cs="Times New Roman"/>
          <w:sz w:val="10"/>
          <w:szCs w:val="10"/>
        </w:rPr>
      </w:pPr>
    </w:p>
    <w:p w14:paraId="34AF16C1" w14:textId="49B9AD6A" w:rsidR="00FC36D4" w:rsidRPr="00721AE3" w:rsidRDefault="00670896"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Figure 2 presents the SHAP summary plot, which provides</w:t>
      </w:r>
      <w:r w:rsidR="00F818FD" w:rsidRPr="00721AE3">
        <w:rPr>
          <w:rFonts w:ascii="Times New Roman" w:hAnsi="Times New Roman" w:cs="Times New Roman"/>
          <w:sz w:val="24"/>
          <w:szCs w:val="24"/>
        </w:rPr>
        <w:t xml:space="preserve"> </w:t>
      </w:r>
      <w:r w:rsidR="005730CA" w:rsidRPr="00721AE3">
        <w:rPr>
          <w:rFonts w:ascii="Times New Roman" w:hAnsi="Times New Roman" w:cs="Times New Roman"/>
          <w:sz w:val="24"/>
          <w:szCs w:val="24"/>
        </w:rPr>
        <w:t xml:space="preserve">deeper insights into the direction and distribution of effects. The </w:t>
      </w:r>
      <w:r w:rsidR="00420CE3" w:rsidRPr="00721AE3">
        <w:rPr>
          <w:rFonts w:ascii="Times New Roman" w:hAnsi="Times New Roman" w:cs="Times New Roman"/>
          <w:sz w:val="24"/>
          <w:szCs w:val="24"/>
        </w:rPr>
        <w:t>r</w:t>
      </w:r>
      <w:r w:rsidR="005730CA" w:rsidRPr="00721AE3">
        <w:rPr>
          <w:rFonts w:ascii="Times New Roman" w:hAnsi="Times New Roman" w:cs="Times New Roman"/>
          <w:sz w:val="24"/>
          <w:szCs w:val="24"/>
        </w:rPr>
        <w:t>esult</w:t>
      </w:r>
      <w:r w:rsidR="005710BC" w:rsidRPr="00721AE3">
        <w:rPr>
          <w:rFonts w:ascii="Times New Roman" w:hAnsi="Times New Roman" w:cs="Times New Roman"/>
          <w:sz w:val="24"/>
          <w:szCs w:val="24"/>
        </w:rPr>
        <w:t>s</w:t>
      </w:r>
      <w:r w:rsidR="005730CA" w:rsidRPr="00721AE3">
        <w:rPr>
          <w:rFonts w:ascii="Times New Roman" w:hAnsi="Times New Roman" w:cs="Times New Roman"/>
          <w:sz w:val="24"/>
          <w:szCs w:val="24"/>
        </w:rPr>
        <w:t xml:space="preserve"> confirm the dominance of </w:t>
      </w:r>
      <w:r w:rsidR="00E648C8" w:rsidRPr="00721AE3">
        <w:rPr>
          <w:rFonts w:ascii="Times New Roman" w:hAnsi="Times New Roman" w:cs="Times New Roman"/>
          <w:sz w:val="24"/>
          <w:szCs w:val="24"/>
        </w:rPr>
        <w:t xml:space="preserve">hotel </w:t>
      </w:r>
      <w:r w:rsidR="005730CA" w:rsidRPr="00721AE3">
        <w:rPr>
          <w:rFonts w:ascii="Times New Roman" w:hAnsi="Times New Roman" w:cs="Times New Roman"/>
          <w:sz w:val="24"/>
          <w:szCs w:val="24"/>
        </w:rPr>
        <w:t xml:space="preserve">and </w:t>
      </w:r>
      <w:r w:rsidR="00AD156B" w:rsidRPr="00721AE3">
        <w:rPr>
          <w:rFonts w:ascii="Times New Roman" w:hAnsi="Times New Roman" w:cs="Times New Roman"/>
          <w:sz w:val="24"/>
          <w:szCs w:val="24"/>
        </w:rPr>
        <w:t>transport</w:t>
      </w:r>
      <w:r w:rsidR="004719C8" w:rsidRPr="00721AE3">
        <w:rPr>
          <w:rFonts w:ascii="Times New Roman" w:hAnsi="Times New Roman" w:cs="Times New Roman"/>
          <w:sz w:val="24"/>
          <w:szCs w:val="24"/>
        </w:rPr>
        <w:t xml:space="preserve"> accessibility variables</w:t>
      </w:r>
      <w:r w:rsidR="00AD156B" w:rsidRPr="00721AE3">
        <w:rPr>
          <w:rFonts w:ascii="Times New Roman" w:hAnsi="Times New Roman" w:cs="Times New Roman"/>
          <w:sz w:val="24"/>
          <w:szCs w:val="24"/>
        </w:rPr>
        <w:t xml:space="preserve"> </w:t>
      </w:r>
      <w:r w:rsidR="005730CA" w:rsidRPr="00721AE3">
        <w:rPr>
          <w:rFonts w:ascii="Times New Roman" w:hAnsi="Times New Roman" w:cs="Times New Roman"/>
          <w:sz w:val="24"/>
          <w:szCs w:val="24"/>
        </w:rPr>
        <w:t>while revealing substantial heterogeneity in marginal effects across distance ranges.</w:t>
      </w:r>
      <w:r w:rsidR="00420CE3" w:rsidRPr="00721AE3">
        <w:rPr>
          <w:rFonts w:ascii="Times New Roman" w:hAnsi="Times New Roman" w:cs="Times New Roman"/>
          <w:sz w:val="24"/>
          <w:szCs w:val="24"/>
        </w:rPr>
        <w:t xml:space="preserve"> For s</w:t>
      </w:r>
      <w:r w:rsidR="00E55FA0" w:rsidRPr="00721AE3">
        <w:rPr>
          <w:rFonts w:ascii="Times New Roman" w:hAnsi="Times New Roman" w:cs="Times New Roman"/>
          <w:sz w:val="24"/>
          <w:szCs w:val="24"/>
        </w:rPr>
        <w:t>ome</w:t>
      </w:r>
      <w:r w:rsidR="00420CE3" w:rsidRPr="00721AE3">
        <w:rPr>
          <w:rFonts w:ascii="Times New Roman" w:hAnsi="Times New Roman" w:cs="Times New Roman"/>
          <w:sz w:val="24"/>
          <w:szCs w:val="24"/>
        </w:rPr>
        <w:t xml:space="preserve"> amenities (e.g., </w:t>
      </w:r>
      <w:r w:rsidR="00C44E5F" w:rsidRPr="00721AE3">
        <w:rPr>
          <w:rFonts w:ascii="Times New Roman" w:hAnsi="Times New Roman" w:cs="Times New Roman"/>
          <w:sz w:val="24"/>
          <w:szCs w:val="24"/>
        </w:rPr>
        <w:t>hospital</w:t>
      </w:r>
      <w:r w:rsidR="005B6ACD" w:rsidRPr="00721AE3">
        <w:rPr>
          <w:rFonts w:ascii="Times New Roman" w:hAnsi="Times New Roman" w:cs="Times New Roman"/>
          <w:sz w:val="24"/>
          <w:szCs w:val="24"/>
        </w:rPr>
        <w:t>,</w:t>
      </w:r>
      <w:r w:rsidR="00C44E5F" w:rsidRPr="00721AE3">
        <w:rPr>
          <w:rFonts w:ascii="Times New Roman" w:hAnsi="Times New Roman" w:cs="Times New Roman"/>
          <w:sz w:val="24"/>
          <w:szCs w:val="24"/>
        </w:rPr>
        <w:t xml:space="preserve"> </w:t>
      </w:r>
      <w:r w:rsidR="008B7EB1" w:rsidRPr="00721AE3">
        <w:rPr>
          <w:rFonts w:ascii="Times New Roman" w:hAnsi="Times New Roman" w:cs="Times New Roman"/>
          <w:sz w:val="24"/>
          <w:szCs w:val="24"/>
        </w:rPr>
        <w:t>clinic</w:t>
      </w:r>
      <w:r w:rsidR="005B6ACD" w:rsidRPr="00721AE3">
        <w:rPr>
          <w:rFonts w:ascii="Times New Roman" w:hAnsi="Times New Roman" w:cs="Times New Roman"/>
          <w:sz w:val="24"/>
          <w:szCs w:val="24"/>
        </w:rPr>
        <w:t xml:space="preserve">, and </w:t>
      </w:r>
      <w:r w:rsidR="001C5A0A" w:rsidRPr="00721AE3">
        <w:rPr>
          <w:rFonts w:ascii="Times New Roman" w:hAnsi="Times New Roman" w:cs="Times New Roman"/>
          <w:sz w:val="24"/>
          <w:szCs w:val="24"/>
        </w:rPr>
        <w:t>green space</w:t>
      </w:r>
      <w:r w:rsidR="00420CE3" w:rsidRPr="00721AE3">
        <w:rPr>
          <w:rFonts w:ascii="Times New Roman" w:hAnsi="Times New Roman" w:cs="Times New Roman"/>
          <w:sz w:val="24"/>
          <w:szCs w:val="24"/>
        </w:rPr>
        <w:t xml:space="preserve">), both positive and negative SHAP values are observed, indicating that proximity </w:t>
      </w:r>
      <w:r w:rsidR="00293C1C" w:rsidRPr="00721AE3">
        <w:rPr>
          <w:rFonts w:ascii="Times New Roman" w:hAnsi="Times New Roman" w:cs="Times New Roman"/>
          <w:sz w:val="24"/>
          <w:szCs w:val="24"/>
        </w:rPr>
        <w:t xml:space="preserve">may either enhance or reduce housing values </w:t>
      </w:r>
      <w:r w:rsidR="00C462AD" w:rsidRPr="00721AE3">
        <w:rPr>
          <w:rFonts w:ascii="Times New Roman" w:hAnsi="Times New Roman" w:cs="Times New Roman"/>
          <w:sz w:val="24"/>
          <w:szCs w:val="24"/>
        </w:rPr>
        <w:t>depending on their pedestrian network distance to the amenity</w:t>
      </w:r>
      <w:r w:rsidR="00293C1C" w:rsidRPr="00721AE3">
        <w:rPr>
          <w:rFonts w:ascii="Times New Roman" w:hAnsi="Times New Roman" w:cs="Times New Roman"/>
          <w:sz w:val="24"/>
          <w:szCs w:val="24"/>
        </w:rPr>
        <w:t>.</w:t>
      </w:r>
      <w:r w:rsidR="00420CE3" w:rsidRPr="00721AE3">
        <w:rPr>
          <w:rFonts w:ascii="Times New Roman" w:hAnsi="Times New Roman" w:cs="Times New Roman"/>
          <w:sz w:val="24"/>
          <w:szCs w:val="24"/>
        </w:rPr>
        <w:t xml:space="preserve"> This pattern provides strong</w:t>
      </w:r>
      <w:r w:rsidR="00FC36D4" w:rsidRPr="00721AE3">
        <w:rPr>
          <w:rFonts w:ascii="Times New Roman" w:hAnsi="Times New Roman" w:cs="Times New Roman"/>
          <w:sz w:val="24"/>
          <w:szCs w:val="24"/>
        </w:rPr>
        <w:t xml:space="preserve"> preliminary </w:t>
      </w:r>
      <w:r w:rsidR="00420CE3" w:rsidRPr="00721AE3">
        <w:rPr>
          <w:rFonts w:ascii="Times New Roman" w:hAnsi="Times New Roman" w:cs="Times New Roman"/>
          <w:sz w:val="24"/>
          <w:szCs w:val="24"/>
        </w:rPr>
        <w:t>evidence of non-linear distance decay effects, consistent with recent findings using explainable machine learning approaches (Dou et al., 2023; Lee et al., 2025).</w:t>
      </w:r>
    </w:p>
    <w:p w14:paraId="4878B9F6" w14:textId="1AE37E67" w:rsidR="00E17BBF" w:rsidRPr="00721AE3" w:rsidRDefault="00C670EC"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 xml:space="preserve">Importantly, the SHAP summary plot reveals substantial dispersion in feature contributions across observations, indicating strong heterogeneity in how amenities influence housing prices. </w:t>
      </w:r>
      <w:r w:rsidR="008524F3" w:rsidRPr="00721AE3">
        <w:rPr>
          <w:rFonts w:ascii="Times New Roman" w:hAnsi="Times New Roman" w:cs="Times New Roman"/>
          <w:sz w:val="24"/>
          <w:szCs w:val="24"/>
        </w:rPr>
        <w:t>Such heterogeneity cannot be</w:t>
      </w:r>
      <w:r w:rsidR="00105B64" w:rsidRPr="00721AE3">
        <w:rPr>
          <w:rFonts w:ascii="Times New Roman" w:hAnsi="Times New Roman" w:cs="Times New Roman"/>
          <w:sz w:val="24"/>
          <w:szCs w:val="24"/>
        </w:rPr>
        <w:t xml:space="preserve"> adequately</w:t>
      </w:r>
      <w:r w:rsidR="008524F3" w:rsidRPr="00721AE3">
        <w:rPr>
          <w:rFonts w:ascii="Times New Roman" w:hAnsi="Times New Roman" w:cs="Times New Roman"/>
          <w:sz w:val="24"/>
          <w:szCs w:val="24"/>
        </w:rPr>
        <w:t xml:space="preserve"> captured by traditional linear </w:t>
      </w:r>
      <w:r w:rsidR="00EA6D41" w:rsidRPr="00721AE3">
        <w:rPr>
          <w:rFonts w:ascii="Times New Roman" w:hAnsi="Times New Roman" w:cs="Times New Roman"/>
          <w:sz w:val="24"/>
          <w:szCs w:val="24"/>
        </w:rPr>
        <w:t xml:space="preserve">hedonic </w:t>
      </w:r>
      <w:r w:rsidR="008524F3" w:rsidRPr="00721AE3">
        <w:rPr>
          <w:rFonts w:ascii="Times New Roman" w:hAnsi="Times New Roman" w:cs="Times New Roman"/>
          <w:sz w:val="24"/>
          <w:szCs w:val="24"/>
        </w:rPr>
        <w:t>models</w:t>
      </w:r>
      <w:r w:rsidR="00D76186" w:rsidRPr="00721AE3">
        <w:rPr>
          <w:rFonts w:ascii="Times New Roman" w:hAnsi="Times New Roman" w:cs="Times New Roman"/>
          <w:sz w:val="24"/>
          <w:szCs w:val="24"/>
        </w:rPr>
        <w:t>,</w:t>
      </w:r>
      <w:r w:rsidR="008524F3" w:rsidRPr="00721AE3">
        <w:rPr>
          <w:rFonts w:ascii="Times New Roman" w:hAnsi="Times New Roman" w:cs="Times New Roman"/>
          <w:sz w:val="24"/>
          <w:szCs w:val="24"/>
        </w:rPr>
        <w:t xml:space="preserve"> </w:t>
      </w:r>
      <w:r w:rsidR="00D76186" w:rsidRPr="00721AE3">
        <w:rPr>
          <w:rFonts w:ascii="Times New Roman" w:hAnsi="Times New Roman" w:cs="Times New Roman"/>
          <w:sz w:val="24"/>
          <w:szCs w:val="24"/>
        </w:rPr>
        <w:t>underscoring the advantage</w:t>
      </w:r>
      <w:r w:rsidR="000B4455" w:rsidRPr="00721AE3">
        <w:rPr>
          <w:rFonts w:ascii="Times New Roman" w:hAnsi="Times New Roman" w:cs="Times New Roman"/>
          <w:sz w:val="24"/>
          <w:szCs w:val="24"/>
        </w:rPr>
        <w:t>s</w:t>
      </w:r>
      <w:r w:rsidR="00D76186" w:rsidRPr="00721AE3">
        <w:rPr>
          <w:rFonts w:ascii="Times New Roman" w:hAnsi="Times New Roman" w:cs="Times New Roman"/>
          <w:sz w:val="24"/>
          <w:szCs w:val="24"/>
        </w:rPr>
        <w:t xml:space="preserve"> of integrating XGBoost with SHAP and ALE to </w:t>
      </w:r>
      <w:r w:rsidR="002F42C1" w:rsidRPr="00721AE3">
        <w:rPr>
          <w:rFonts w:ascii="Times New Roman" w:hAnsi="Times New Roman" w:cs="Times New Roman"/>
          <w:sz w:val="24"/>
          <w:szCs w:val="24"/>
        </w:rPr>
        <w:t>uncover</w:t>
      </w:r>
      <w:r w:rsidR="00D76186" w:rsidRPr="00721AE3">
        <w:rPr>
          <w:rFonts w:ascii="Times New Roman" w:hAnsi="Times New Roman" w:cs="Times New Roman"/>
          <w:sz w:val="24"/>
          <w:szCs w:val="24"/>
        </w:rPr>
        <w:t xml:space="preserve"> complex, distance-dependent capitalization mechanisms</w:t>
      </w:r>
      <w:r w:rsidR="00B341DE" w:rsidRPr="00721AE3">
        <w:rPr>
          <w:rFonts w:ascii="Times New Roman" w:hAnsi="Times New Roman" w:cs="Times New Roman"/>
          <w:sz w:val="24"/>
          <w:szCs w:val="24"/>
        </w:rPr>
        <w:t xml:space="preserve"> </w:t>
      </w:r>
      <w:r w:rsidR="0056643C" w:rsidRPr="00721AE3">
        <w:rPr>
          <w:rFonts w:ascii="Times New Roman" w:hAnsi="Times New Roman" w:cs="Times New Roman"/>
          <w:sz w:val="24"/>
          <w:szCs w:val="24"/>
        </w:rPr>
        <w:t xml:space="preserve">(see Molnar, 2021; </w:t>
      </w:r>
      <w:r w:rsidR="00087C84" w:rsidRPr="00721AE3">
        <w:rPr>
          <w:rFonts w:ascii="Times New Roman" w:hAnsi="Times New Roman" w:cs="Times New Roman"/>
          <w:sz w:val="24"/>
          <w:szCs w:val="24"/>
        </w:rPr>
        <w:t xml:space="preserve">Yuan et al., 2020; </w:t>
      </w:r>
      <w:r w:rsidR="0056643C" w:rsidRPr="00721AE3">
        <w:rPr>
          <w:rFonts w:ascii="Times New Roman" w:hAnsi="Times New Roman" w:cs="Times New Roman"/>
          <w:sz w:val="24"/>
          <w:szCs w:val="24"/>
        </w:rPr>
        <w:t>Dou et al., 2023</w:t>
      </w:r>
      <w:r w:rsidR="0045390B" w:rsidRPr="00721AE3">
        <w:rPr>
          <w:rFonts w:ascii="Times New Roman" w:hAnsi="Times New Roman" w:cs="Times New Roman"/>
          <w:sz w:val="24"/>
          <w:szCs w:val="24"/>
        </w:rPr>
        <w:t>;</w:t>
      </w:r>
      <w:r w:rsidR="00087C84" w:rsidRPr="00721AE3">
        <w:rPr>
          <w:rFonts w:ascii="Times New Roman" w:hAnsi="Times New Roman" w:cs="Times New Roman"/>
          <w:sz w:val="24"/>
          <w:szCs w:val="24"/>
        </w:rPr>
        <w:t xml:space="preserve"> Chen et al., 2025;</w:t>
      </w:r>
      <w:r w:rsidR="0045390B" w:rsidRPr="00721AE3">
        <w:rPr>
          <w:rFonts w:ascii="Times New Roman" w:hAnsi="Times New Roman" w:cs="Times New Roman"/>
          <w:sz w:val="24"/>
          <w:szCs w:val="24"/>
        </w:rPr>
        <w:t xml:space="preserve"> Lee et al., 2025</w:t>
      </w:r>
      <w:r w:rsidR="0056643C" w:rsidRPr="00721AE3">
        <w:rPr>
          <w:rFonts w:ascii="Times New Roman" w:hAnsi="Times New Roman" w:cs="Times New Roman"/>
          <w:sz w:val="24"/>
          <w:szCs w:val="24"/>
        </w:rPr>
        <w:t>).</w:t>
      </w:r>
    </w:p>
    <w:p w14:paraId="64C3D210" w14:textId="32C58686" w:rsidR="0096454A" w:rsidRPr="00721AE3" w:rsidRDefault="00C612EF" w:rsidP="00A51F59">
      <w:pPr>
        <w:spacing w:line="240" w:lineRule="auto"/>
        <w:jc w:val="both"/>
        <w:rPr>
          <w:rFonts w:ascii="Times New Roman" w:hAnsi="Times New Roman" w:cs="Times New Roman"/>
          <w:sz w:val="20"/>
          <w:szCs w:val="20"/>
        </w:rPr>
      </w:pPr>
      <w:r w:rsidRPr="00721AE3">
        <w:rPr>
          <w:noProof/>
        </w:rPr>
        <w:drawing>
          <wp:inline distT="0" distB="0" distL="0" distR="0" wp14:anchorId="76C62F67" wp14:editId="269F295B">
            <wp:extent cx="5527592" cy="4725619"/>
            <wp:effectExtent l="0" t="0" r="0" b="0"/>
            <wp:docPr id="1972672690" name="Picture 3" descr="A chart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72690" name="Picture 3" descr="A chart of different colored lin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7095" cy="4733743"/>
                    </a:xfrm>
                    <a:prstGeom prst="rect">
                      <a:avLst/>
                    </a:prstGeom>
                    <a:noFill/>
                    <a:ln>
                      <a:noFill/>
                    </a:ln>
                  </pic:spPr>
                </pic:pic>
              </a:graphicData>
            </a:graphic>
          </wp:inline>
        </w:drawing>
      </w:r>
    </w:p>
    <w:p w14:paraId="1E1D0D73" w14:textId="7B7CB681" w:rsidR="00D54B17" w:rsidRPr="00721AE3" w:rsidRDefault="00805AE7" w:rsidP="00CE2308">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Figure 2</w:t>
      </w:r>
      <w:r w:rsidR="009E3B6B" w:rsidRPr="00721AE3">
        <w:rPr>
          <w:rFonts w:ascii="Times New Roman" w:hAnsi="Times New Roman" w:cs="Times New Roman"/>
          <w:sz w:val="24"/>
          <w:szCs w:val="24"/>
        </w:rPr>
        <w:t>.</w:t>
      </w:r>
      <w:r w:rsidRPr="00721AE3">
        <w:rPr>
          <w:rFonts w:ascii="Times New Roman" w:hAnsi="Times New Roman" w:cs="Times New Roman"/>
          <w:sz w:val="24"/>
          <w:szCs w:val="24"/>
        </w:rPr>
        <w:t xml:space="preserve"> </w:t>
      </w:r>
      <w:r w:rsidR="00F34667" w:rsidRPr="00721AE3">
        <w:rPr>
          <w:rFonts w:ascii="Times New Roman" w:hAnsi="Times New Roman" w:cs="Times New Roman"/>
          <w:sz w:val="24"/>
          <w:szCs w:val="24"/>
        </w:rPr>
        <w:t xml:space="preserve"> SHAP-based feature importance</w:t>
      </w:r>
    </w:p>
    <w:p w14:paraId="61DAF525" w14:textId="77777777" w:rsidR="0012526F" w:rsidRPr="00721AE3" w:rsidRDefault="0012526F" w:rsidP="00CE2308">
      <w:pPr>
        <w:spacing w:line="360" w:lineRule="auto"/>
        <w:jc w:val="both"/>
        <w:rPr>
          <w:rFonts w:ascii="Times New Roman" w:hAnsi="Times New Roman" w:cs="Times New Roman"/>
          <w:sz w:val="24"/>
          <w:szCs w:val="24"/>
        </w:rPr>
      </w:pPr>
    </w:p>
    <w:p w14:paraId="47AF1E50" w14:textId="77777777" w:rsidR="0012526F" w:rsidRPr="00721AE3" w:rsidRDefault="0012526F" w:rsidP="00CE2308">
      <w:pPr>
        <w:spacing w:line="360" w:lineRule="auto"/>
        <w:jc w:val="both"/>
        <w:rPr>
          <w:rFonts w:ascii="Times New Roman" w:hAnsi="Times New Roman" w:cs="Times New Roman"/>
          <w:sz w:val="24"/>
          <w:szCs w:val="24"/>
        </w:rPr>
      </w:pPr>
    </w:p>
    <w:p w14:paraId="5FFA632D" w14:textId="0CEC3638" w:rsidR="006C4F4B" w:rsidRPr="00721AE3" w:rsidRDefault="0039360D" w:rsidP="00CE2308">
      <w:pPr>
        <w:pStyle w:val="a9"/>
        <w:numPr>
          <w:ilvl w:val="1"/>
          <w:numId w:val="1"/>
        </w:numPr>
        <w:spacing w:line="360" w:lineRule="auto"/>
        <w:ind w:left="426" w:hanging="426"/>
        <w:jc w:val="both"/>
        <w:rPr>
          <w:rFonts w:ascii="Times New Roman" w:hAnsi="Times New Roman" w:cs="Times New Roman"/>
          <w:b/>
          <w:bCs/>
          <w:sz w:val="24"/>
          <w:szCs w:val="24"/>
        </w:rPr>
      </w:pPr>
      <w:r w:rsidRPr="00721AE3">
        <w:rPr>
          <w:rFonts w:ascii="Times New Roman" w:hAnsi="Times New Roman" w:cs="Times New Roman"/>
          <w:b/>
          <w:bCs/>
          <w:sz w:val="24"/>
          <w:szCs w:val="24"/>
        </w:rPr>
        <w:lastRenderedPageBreak/>
        <w:t xml:space="preserve">Distance decay effect of </w:t>
      </w:r>
      <w:r w:rsidR="00906D1A" w:rsidRPr="00721AE3">
        <w:rPr>
          <w:rFonts w:ascii="Times New Roman" w:hAnsi="Times New Roman" w:cs="Times New Roman"/>
          <w:b/>
          <w:bCs/>
          <w:sz w:val="24"/>
          <w:szCs w:val="24"/>
        </w:rPr>
        <w:t xml:space="preserve">urban </w:t>
      </w:r>
      <w:r w:rsidRPr="00721AE3">
        <w:rPr>
          <w:rFonts w:ascii="Times New Roman" w:hAnsi="Times New Roman" w:cs="Times New Roman"/>
          <w:b/>
          <w:bCs/>
          <w:sz w:val="24"/>
          <w:szCs w:val="24"/>
        </w:rPr>
        <w:t xml:space="preserve">amenities on housing pricing </w:t>
      </w:r>
    </w:p>
    <w:p w14:paraId="08C4521F" w14:textId="50BEBFFD" w:rsidR="0058338E" w:rsidRPr="00721AE3" w:rsidRDefault="0058338E" w:rsidP="00CE2308">
      <w:pPr>
        <w:pStyle w:val="a9"/>
        <w:numPr>
          <w:ilvl w:val="2"/>
          <w:numId w:val="1"/>
        </w:numPr>
        <w:spacing w:line="360" w:lineRule="auto"/>
        <w:ind w:left="709"/>
        <w:jc w:val="both"/>
        <w:rPr>
          <w:rFonts w:ascii="Times New Roman" w:hAnsi="Times New Roman" w:cs="Times New Roman"/>
          <w:b/>
          <w:bCs/>
          <w:i/>
          <w:iCs/>
          <w:sz w:val="24"/>
          <w:szCs w:val="24"/>
        </w:rPr>
      </w:pPr>
      <w:r w:rsidRPr="00721AE3">
        <w:rPr>
          <w:rFonts w:ascii="Times New Roman" w:hAnsi="Times New Roman" w:cs="Times New Roman"/>
          <w:b/>
          <w:bCs/>
          <w:i/>
          <w:iCs/>
          <w:sz w:val="24"/>
          <w:szCs w:val="24"/>
        </w:rPr>
        <w:t xml:space="preserve">Distance to </w:t>
      </w:r>
      <w:r w:rsidR="008810ED" w:rsidRPr="00721AE3">
        <w:rPr>
          <w:rFonts w:ascii="Times New Roman" w:hAnsi="Times New Roman" w:cs="Times New Roman"/>
          <w:b/>
          <w:bCs/>
          <w:i/>
          <w:iCs/>
          <w:sz w:val="24"/>
          <w:szCs w:val="24"/>
        </w:rPr>
        <w:t>c</w:t>
      </w:r>
      <w:r w:rsidRPr="00721AE3">
        <w:rPr>
          <w:rFonts w:ascii="Times New Roman" w:hAnsi="Times New Roman" w:cs="Times New Roman"/>
          <w:b/>
          <w:bCs/>
          <w:i/>
          <w:iCs/>
          <w:sz w:val="24"/>
          <w:szCs w:val="24"/>
        </w:rPr>
        <w:t xml:space="preserve">ommercial &amp; </w:t>
      </w:r>
      <w:r w:rsidR="00C26AB2" w:rsidRPr="00721AE3">
        <w:rPr>
          <w:rFonts w:ascii="Times New Roman" w:hAnsi="Times New Roman" w:cs="Times New Roman"/>
          <w:b/>
          <w:bCs/>
          <w:i/>
          <w:iCs/>
          <w:sz w:val="24"/>
          <w:szCs w:val="24"/>
        </w:rPr>
        <w:t>r</w:t>
      </w:r>
      <w:r w:rsidRPr="00721AE3">
        <w:rPr>
          <w:rFonts w:ascii="Times New Roman" w:hAnsi="Times New Roman" w:cs="Times New Roman"/>
          <w:b/>
          <w:bCs/>
          <w:i/>
          <w:iCs/>
          <w:sz w:val="24"/>
          <w:szCs w:val="24"/>
        </w:rPr>
        <w:t xml:space="preserve">etail </w:t>
      </w:r>
      <w:r w:rsidR="00C84B0C" w:rsidRPr="00721AE3">
        <w:rPr>
          <w:rFonts w:ascii="Times New Roman" w:hAnsi="Times New Roman" w:cs="Times New Roman"/>
          <w:b/>
          <w:bCs/>
          <w:i/>
          <w:iCs/>
          <w:sz w:val="24"/>
          <w:szCs w:val="24"/>
        </w:rPr>
        <w:t>serv</w:t>
      </w:r>
      <w:r w:rsidR="00CD5EF9" w:rsidRPr="00721AE3">
        <w:rPr>
          <w:rFonts w:ascii="Times New Roman" w:hAnsi="Times New Roman" w:cs="Times New Roman"/>
          <w:b/>
          <w:bCs/>
          <w:i/>
          <w:iCs/>
          <w:sz w:val="24"/>
          <w:szCs w:val="24"/>
        </w:rPr>
        <w:t>ices</w:t>
      </w:r>
    </w:p>
    <w:p w14:paraId="4624B1C3" w14:textId="53A900EF" w:rsidR="0058338E" w:rsidRPr="00721AE3" w:rsidRDefault="00F02617" w:rsidP="003309C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Figure 3 illustrates the distance decay effects of key commercial and retail amenities</w:t>
      </w:r>
      <w:r w:rsidR="00A2610D" w:rsidRPr="00721AE3">
        <w:rPr>
          <w:rFonts w:ascii="Times New Roman" w:hAnsi="Times New Roman" w:cs="Times New Roman"/>
          <w:sz w:val="24"/>
          <w:szCs w:val="24"/>
        </w:rPr>
        <w:t xml:space="preserve"> on housing prices</w:t>
      </w:r>
      <w:r w:rsidRPr="00721AE3">
        <w:rPr>
          <w:rFonts w:ascii="Times New Roman" w:hAnsi="Times New Roman" w:cs="Times New Roman"/>
          <w:sz w:val="24"/>
          <w:szCs w:val="24"/>
        </w:rPr>
        <w:t xml:space="preserve">. </w:t>
      </w:r>
      <w:r w:rsidR="00D24304" w:rsidRPr="00721AE3">
        <w:rPr>
          <w:rFonts w:ascii="Times New Roman" w:hAnsi="Times New Roman" w:cs="Times New Roman"/>
          <w:sz w:val="24"/>
          <w:szCs w:val="24"/>
        </w:rPr>
        <w:t>T</w:t>
      </w:r>
      <w:r w:rsidRPr="00721AE3">
        <w:rPr>
          <w:rFonts w:ascii="Times New Roman" w:hAnsi="Times New Roman" w:cs="Times New Roman"/>
          <w:sz w:val="24"/>
          <w:szCs w:val="24"/>
        </w:rPr>
        <w:t xml:space="preserve">he </w:t>
      </w:r>
      <w:r w:rsidR="00D24304" w:rsidRPr="00721AE3">
        <w:rPr>
          <w:rFonts w:ascii="Times New Roman" w:hAnsi="Times New Roman" w:cs="Times New Roman"/>
          <w:sz w:val="24"/>
          <w:szCs w:val="24"/>
        </w:rPr>
        <w:t xml:space="preserve">results </w:t>
      </w:r>
      <w:r w:rsidRPr="00721AE3">
        <w:rPr>
          <w:rFonts w:ascii="Times New Roman" w:hAnsi="Times New Roman" w:cs="Times New Roman"/>
          <w:sz w:val="24"/>
          <w:szCs w:val="24"/>
        </w:rPr>
        <w:t xml:space="preserve">reveal pronounced non-linear and </w:t>
      </w:r>
      <w:r w:rsidR="009E7D48" w:rsidRPr="00721AE3">
        <w:rPr>
          <w:rFonts w:ascii="Times New Roman" w:hAnsi="Times New Roman" w:cs="Times New Roman"/>
          <w:sz w:val="24"/>
          <w:szCs w:val="24"/>
        </w:rPr>
        <w:t>amenity-specific</w:t>
      </w:r>
      <w:r w:rsidR="00604D73" w:rsidRPr="00721AE3">
        <w:rPr>
          <w:rFonts w:ascii="Times New Roman" w:hAnsi="Times New Roman" w:cs="Times New Roman"/>
          <w:sz w:val="24"/>
          <w:szCs w:val="24"/>
        </w:rPr>
        <w:t xml:space="preserve"> </w:t>
      </w:r>
      <w:r w:rsidR="00A003FD" w:rsidRPr="00721AE3">
        <w:rPr>
          <w:rFonts w:ascii="Times New Roman" w:hAnsi="Times New Roman" w:cs="Times New Roman"/>
          <w:sz w:val="24"/>
          <w:szCs w:val="24"/>
        </w:rPr>
        <w:t>c</w:t>
      </w:r>
      <w:r w:rsidR="00604D73" w:rsidRPr="00721AE3">
        <w:rPr>
          <w:rFonts w:ascii="Times New Roman" w:hAnsi="Times New Roman" w:cs="Times New Roman"/>
          <w:sz w:val="24"/>
          <w:szCs w:val="24"/>
        </w:rPr>
        <w:t>apitalization patterns</w:t>
      </w:r>
      <w:r w:rsidRPr="00721AE3">
        <w:rPr>
          <w:rFonts w:ascii="Times New Roman" w:hAnsi="Times New Roman" w:cs="Times New Roman"/>
          <w:sz w:val="24"/>
          <w:szCs w:val="24"/>
        </w:rPr>
        <w:t xml:space="preserve">, </w:t>
      </w:r>
      <w:r w:rsidR="008557CE" w:rsidRPr="00721AE3">
        <w:rPr>
          <w:rFonts w:ascii="Times New Roman" w:hAnsi="Times New Roman" w:cs="Times New Roman"/>
          <w:sz w:val="24"/>
          <w:szCs w:val="24"/>
        </w:rPr>
        <w:t>indicating that housing values are shaped by optimal accessibility within distinct service catchments rather than by simple proximity</w:t>
      </w:r>
      <w:r w:rsidR="008F3B7B" w:rsidRPr="00721AE3">
        <w:rPr>
          <w:rFonts w:ascii="Times New Roman" w:hAnsi="Times New Roman" w:cs="Times New Roman"/>
          <w:sz w:val="24"/>
          <w:szCs w:val="24"/>
        </w:rPr>
        <w:t>.</w:t>
      </w:r>
    </w:p>
    <w:p w14:paraId="0A5D371E" w14:textId="2D5A5684" w:rsidR="0058341C" w:rsidRPr="00721AE3" w:rsidRDefault="0058341C" w:rsidP="0058341C">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Restaurants and hotels (Panels b and c) exhibit broadly similar </w:t>
      </w:r>
      <w:r w:rsidR="00A946B4" w:rsidRPr="00721AE3">
        <w:rPr>
          <w:rFonts w:ascii="Times New Roman" w:hAnsi="Times New Roman" w:cs="Times New Roman"/>
          <w:sz w:val="24"/>
          <w:szCs w:val="24"/>
        </w:rPr>
        <w:t xml:space="preserve">distance response </w:t>
      </w:r>
      <w:r w:rsidRPr="00721AE3">
        <w:rPr>
          <w:rFonts w:ascii="Times New Roman" w:hAnsi="Times New Roman" w:cs="Times New Roman"/>
          <w:sz w:val="24"/>
          <w:szCs w:val="24"/>
        </w:rPr>
        <w:t xml:space="preserve">patterns, with positive capitalization effects </w:t>
      </w:r>
      <w:r w:rsidR="00934FD6" w:rsidRPr="00721AE3">
        <w:rPr>
          <w:rFonts w:ascii="Times New Roman" w:hAnsi="Times New Roman" w:cs="Times New Roman"/>
          <w:sz w:val="24"/>
          <w:szCs w:val="24"/>
        </w:rPr>
        <w:t>with</w:t>
      </w:r>
      <w:r w:rsidR="00517D0E" w:rsidRPr="00721AE3">
        <w:rPr>
          <w:rFonts w:ascii="Times New Roman" w:hAnsi="Times New Roman" w:cs="Times New Roman"/>
          <w:sz w:val="24"/>
          <w:szCs w:val="24"/>
        </w:rPr>
        <w:t>in</w:t>
      </w:r>
      <w:r w:rsidRPr="00721AE3">
        <w:rPr>
          <w:rFonts w:ascii="Times New Roman" w:hAnsi="Times New Roman" w:cs="Times New Roman"/>
          <w:sz w:val="24"/>
          <w:szCs w:val="24"/>
        </w:rPr>
        <w:t xml:space="preserve"> relatively short </w:t>
      </w:r>
      <w:r w:rsidR="00517D0E" w:rsidRPr="00721AE3">
        <w:rPr>
          <w:rFonts w:ascii="Times New Roman" w:hAnsi="Times New Roman" w:cs="Times New Roman"/>
          <w:sz w:val="24"/>
          <w:szCs w:val="24"/>
        </w:rPr>
        <w:t>walking</w:t>
      </w:r>
      <w:r w:rsidRPr="00721AE3">
        <w:rPr>
          <w:rFonts w:ascii="Times New Roman" w:hAnsi="Times New Roman" w:cs="Times New Roman"/>
          <w:sz w:val="24"/>
          <w:szCs w:val="24"/>
        </w:rPr>
        <w:t xml:space="preserve"> distances followed by a transition to negative contributions beyond their respective thresholds. For restaurants, the ALE curve remains positive until approximately 0.5</w:t>
      </w:r>
      <w:r w:rsidR="00F2700E" w:rsidRPr="00721AE3">
        <w:rPr>
          <w:rFonts w:ascii="Times New Roman" w:hAnsi="Times New Roman" w:cs="Times New Roman"/>
          <w:sz w:val="24"/>
          <w:szCs w:val="24"/>
        </w:rPr>
        <w:t>2</w:t>
      </w:r>
      <w:r w:rsidRPr="00721AE3">
        <w:rPr>
          <w:rFonts w:ascii="Times New Roman" w:hAnsi="Times New Roman" w:cs="Times New Roman"/>
          <w:sz w:val="24"/>
          <w:szCs w:val="24"/>
        </w:rPr>
        <w:t xml:space="preserve"> km, whereas hotels maintain positive effects over a much broader range before crossing zero at approximately 2.</w:t>
      </w:r>
      <w:r w:rsidR="00E90B8C" w:rsidRPr="00721AE3">
        <w:rPr>
          <w:rFonts w:ascii="Times New Roman" w:hAnsi="Times New Roman" w:cs="Times New Roman"/>
          <w:sz w:val="24"/>
          <w:szCs w:val="24"/>
        </w:rPr>
        <w:t>64</w:t>
      </w:r>
      <w:r w:rsidRPr="00721AE3">
        <w:rPr>
          <w:rFonts w:ascii="Times New Roman" w:hAnsi="Times New Roman" w:cs="Times New Roman"/>
          <w:sz w:val="24"/>
          <w:szCs w:val="24"/>
        </w:rPr>
        <w:t xml:space="preserve"> km. These differences reflect their distinct roles within the urban system. </w:t>
      </w:r>
      <w:r w:rsidR="00E411DC" w:rsidRPr="00721AE3">
        <w:rPr>
          <w:rFonts w:ascii="Times New Roman" w:hAnsi="Times New Roman" w:cs="Times New Roman"/>
          <w:sz w:val="24"/>
          <w:szCs w:val="24"/>
        </w:rPr>
        <w:t xml:space="preserve">Restaurants primarily support neighborhood-level daily consumption and derive value from convenient walking access, resulting in </w:t>
      </w:r>
      <w:r w:rsidR="00B565C5" w:rsidRPr="00721AE3">
        <w:rPr>
          <w:rFonts w:ascii="Times New Roman" w:hAnsi="Times New Roman" w:cs="Times New Roman"/>
          <w:sz w:val="24"/>
          <w:szCs w:val="24"/>
        </w:rPr>
        <w:t xml:space="preserve">a </w:t>
      </w:r>
      <w:r w:rsidR="007E0E67" w:rsidRPr="00721AE3">
        <w:rPr>
          <w:rFonts w:ascii="Times New Roman" w:hAnsi="Times New Roman" w:cs="Times New Roman"/>
          <w:sz w:val="24"/>
          <w:szCs w:val="24"/>
        </w:rPr>
        <w:t>relatively</w:t>
      </w:r>
      <w:r w:rsidR="00E411DC" w:rsidRPr="00721AE3">
        <w:rPr>
          <w:rFonts w:ascii="Times New Roman" w:hAnsi="Times New Roman" w:cs="Times New Roman"/>
          <w:sz w:val="24"/>
          <w:szCs w:val="24"/>
        </w:rPr>
        <w:t xml:space="preserve"> localized service catchment</w:t>
      </w:r>
      <w:r w:rsidRPr="00721AE3">
        <w:rPr>
          <w:rFonts w:ascii="Times New Roman" w:hAnsi="Times New Roman" w:cs="Times New Roman"/>
          <w:sz w:val="24"/>
          <w:szCs w:val="24"/>
        </w:rPr>
        <w:t xml:space="preserve">. </w:t>
      </w:r>
      <w:r w:rsidR="004F6960" w:rsidRPr="00721AE3">
        <w:rPr>
          <w:rFonts w:ascii="Times New Roman" w:hAnsi="Times New Roman" w:cs="Times New Roman"/>
          <w:sz w:val="24"/>
          <w:szCs w:val="24"/>
        </w:rPr>
        <w:t>Hotels, by contrast, are destination-oriented amenities associated with tourism, business activity, employment concentration, and diversified urban services. Their broader spatial influence therefore reflects the capitalization of urban agglomeration economies extending well beyond the immediate neighborhood</w:t>
      </w:r>
      <w:r w:rsidRPr="00721AE3">
        <w:rPr>
          <w:rFonts w:ascii="Times New Roman" w:hAnsi="Times New Roman" w:cs="Times New Roman"/>
          <w:sz w:val="24"/>
          <w:szCs w:val="24"/>
        </w:rPr>
        <w:t>.</w:t>
      </w:r>
    </w:p>
    <w:p w14:paraId="03678134" w14:textId="1E4AE260" w:rsidR="008C5510" w:rsidRPr="00721AE3" w:rsidRDefault="000B37A4" w:rsidP="0058341C">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Beyond these optimal accessibility ranges, capitalization effects become progressively negative. As distance increases, households lose the accessibility advantages associated with economically vibrant districts, while tourism-related congestion, noise, crowding, and other localized externalities become relatively more influential.</w:t>
      </w:r>
      <w:r w:rsidR="00B116E8" w:rsidRPr="00721AE3">
        <w:rPr>
          <w:rFonts w:ascii="Times New Roman" w:hAnsi="Times New Roman" w:cs="Times New Roman"/>
          <w:sz w:val="24"/>
          <w:szCs w:val="24"/>
        </w:rPr>
        <w:t xml:space="preserve"> Consequently, </w:t>
      </w:r>
      <w:r w:rsidR="00F24F3E" w:rsidRPr="00721AE3">
        <w:rPr>
          <w:rFonts w:ascii="Times New Roman" w:hAnsi="Times New Roman" w:cs="Times New Roman"/>
          <w:sz w:val="24"/>
          <w:szCs w:val="24"/>
        </w:rPr>
        <w:t>the net contribution of proximity declines below zero</w:t>
      </w:r>
      <w:r w:rsidR="0058341C" w:rsidRPr="00721AE3">
        <w:rPr>
          <w:rFonts w:ascii="Times New Roman" w:hAnsi="Times New Roman" w:cs="Times New Roman"/>
          <w:sz w:val="24"/>
          <w:szCs w:val="24"/>
        </w:rPr>
        <w:t xml:space="preserve">. </w:t>
      </w:r>
      <w:r w:rsidR="001111E6" w:rsidRPr="00721AE3">
        <w:rPr>
          <w:rFonts w:ascii="Times New Roman" w:hAnsi="Times New Roman" w:cs="Times New Roman"/>
          <w:sz w:val="24"/>
          <w:szCs w:val="24"/>
        </w:rPr>
        <w:t xml:space="preserve">These findings are consistent with urban economic theories emphasizing the coexistence of agglomeration economies and localized externalities in dense metropolitan </w:t>
      </w:r>
      <w:r w:rsidR="001111E6" w:rsidRPr="00721AE3">
        <w:rPr>
          <w:rFonts w:ascii="Times New Roman" w:hAnsi="Times New Roman" w:cs="Times New Roman"/>
          <w:sz w:val="24"/>
          <w:szCs w:val="24"/>
        </w:rPr>
        <w:lastRenderedPageBreak/>
        <w:t xml:space="preserve">environments and align with previous evidence that the benefits of commercial accessibility </w:t>
      </w:r>
      <w:r w:rsidR="007B5A18" w:rsidRPr="00721AE3">
        <w:rPr>
          <w:noProof/>
        </w:rPr>
        <w:drawing>
          <wp:anchor distT="0" distB="0" distL="114300" distR="114300" simplePos="0" relativeHeight="251658240" behindDoc="1" locked="0" layoutInCell="1" allowOverlap="1" wp14:anchorId="3093F0B5" wp14:editId="3017024F">
            <wp:simplePos x="0" y="0"/>
            <wp:positionH relativeFrom="margin">
              <wp:align>right</wp:align>
            </wp:positionH>
            <wp:positionV relativeFrom="paragraph">
              <wp:posOffset>804672</wp:posOffset>
            </wp:positionV>
            <wp:extent cx="5943600" cy="1873250"/>
            <wp:effectExtent l="0" t="0" r="0" b="0"/>
            <wp:wrapNone/>
            <wp:docPr id="310301584" name="Picture 1" descr="A graph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01584" name="Picture 1" descr="A graph on a white backgroun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873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11E6" w:rsidRPr="00721AE3">
        <w:rPr>
          <w:rFonts w:ascii="Times New Roman" w:hAnsi="Times New Roman" w:cs="Times New Roman"/>
          <w:sz w:val="24"/>
          <w:szCs w:val="24"/>
        </w:rPr>
        <w:t>diminish with increasing distance</w:t>
      </w:r>
      <w:r w:rsidR="0058341C" w:rsidRPr="00721AE3">
        <w:rPr>
          <w:rFonts w:ascii="Times New Roman" w:hAnsi="Times New Roman" w:cs="Times New Roman"/>
          <w:sz w:val="24"/>
          <w:szCs w:val="24"/>
        </w:rPr>
        <w:t xml:space="preserve"> (Kholdy et al., 2014; Jang &amp; Kang, 2015; Zhang et al., 2020)</w:t>
      </w:r>
      <w:r w:rsidR="00E23E72" w:rsidRPr="00721AE3">
        <w:rPr>
          <w:rFonts w:ascii="Times New Roman" w:hAnsi="Times New Roman" w:cs="Times New Roman"/>
          <w:sz w:val="24"/>
          <w:szCs w:val="24"/>
        </w:rPr>
        <w:t xml:space="preserve">. </w:t>
      </w:r>
    </w:p>
    <w:p w14:paraId="36860E52" w14:textId="408736B7" w:rsidR="00D9455C" w:rsidRPr="00721AE3" w:rsidRDefault="00D9455C" w:rsidP="00D9455C">
      <w:pPr>
        <w:pStyle w:val="af8"/>
      </w:pPr>
    </w:p>
    <w:p w14:paraId="7D46EF14" w14:textId="5EDF9DBD" w:rsidR="005244A9" w:rsidRPr="00721AE3" w:rsidRDefault="005244A9" w:rsidP="005244A9">
      <w:pPr>
        <w:pStyle w:val="af8"/>
      </w:pPr>
    </w:p>
    <w:p w14:paraId="4C2C3789" w14:textId="4936D571" w:rsidR="00006E09" w:rsidRPr="00721AE3" w:rsidRDefault="00006E09" w:rsidP="005244A9">
      <w:pPr>
        <w:pStyle w:val="af8"/>
      </w:pPr>
    </w:p>
    <w:p w14:paraId="78E6B899" w14:textId="77777777" w:rsidR="00006E09" w:rsidRPr="00721AE3" w:rsidRDefault="00006E09" w:rsidP="005244A9">
      <w:pPr>
        <w:pStyle w:val="af8"/>
      </w:pPr>
    </w:p>
    <w:p w14:paraId="02A334A3" w14:textId="77777777" w:rsidR="007B5A18" w:rsidRPr="00721AE3" w:rsidRDefault="007B5A18" w:rsidP="005244A9">
      <w:pPr>
        <w:pStyle w:val="af8"/>
      </w:pPr>
    </w:p>
    <w:p w14:paraId="6C17A540" w14:textId="77777777" w:rsidR="00006E09" w:rsidRPr="00721AE3" w:rsidRDefault="00006E09" w:rsidP="007B5A18">
      <w:pPr>
        <w:spacing w:after="0" w:line="360" w:lineRule="auto"/>
        <w:jc w:val="both"/>
        <w:rPr>
          <w:rFonts w:ascii="Times New Roman" w:hAnsi="Times New Roman" w:cs="Times New Roman"/>
          <w:sz w:val="14"/>
          <w:szCs w:val="14"/>
        </w:rPr>
      </w:pPr>
    </w:p>
    <w:p w14:paraId="44D4A2B1" w14:textId="5362CD37" w:rsidR="00C14A60" w:rsidRPr="00721AE3" w:rsidRDefault="00C84B0C" w:rsidP="0073517F">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Figure </w:t>
      </w:r>
      <w:r w:rsidR="00A67CE4" w:rsidRPr="00721AE3">
        <w:rPr>
          <w:rFonts w:ascii="Times New Roman" w:hAnsi="Times New Roman" w:cs="Times New Roman"/>
          <w:sz w:val="24"/>
          <w:szCs w:val="24"/>
        </w:rPr>
        <w:t>3</w:t>
      </w:r>
      <w:r w:rsidRPr="00721AE3">
        <w:rPr>
          <w:rFonts w:ascii="Times New Roman" w:hAnsi="Times New Roman" w:cs="Times New Roman"/>
          <w:sz w:val="24"/>
          <w:szCs w:val="24"/>
        </w:rPr>
        <w:t xml:space="preserve">. Distance decay effects of </w:t>
      </w:r>
      <w:r w:rsidR="00CD5EF9" w:rsidRPr="00721AE3">
        <w:rPr>
          <w:rFonts w:ascii="Times New Roman" w:hAnsi="Times New Roman" w:cs="Times New Roman"/>
          <w:sz w:val="24"/>
          <w:szCs w:val="24"/>
        </w:rPr>
        <w:t xml:space="preserve">commercial &amp; retail </w:t>
      </w:r>
      <w:r w:rsidRPr="00721AE3">
        <w:rPr>
          <w:rFonts w:ascii="Times New Roman" w:hAnsi="Times New Roman" w:cs="Times New Roman"/>
          <w:sz w:val="24"/>
          <w:szCs w:val="24"/>
        </w:rPr>
        <w:t>services on housing prices</w:t>
      </w:r>
    </w:p>
    <w:p w14:paraId="280C3307" w14:textId="5893FD2C" w:rsidR="00BA0411" w:rsidRPr="00721AE3" w:rsidRDefault="006219DC"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In contrast, shopping malls </w:t>
      </w:r>
      <w:r w:rsidR="00D05DFA" w:rsidRPr="00721AE3">
        <w:rPr>
          <w:rFonts w:ascii="Times New Roman" w:hAnsi="Times New Roman" w:cs="Times New Roman"/>
          <w:sz w:val="24"/>
          <w:szCs w:val="24"/>
        </w:rPr>
        <w:t>(</w:t>
      </w:r>
      <w:r w:rsidR="00754730" w:rsidRPr="00721AE3">
        <w:rPr>
          <w:rFonts w:ascii="Times New Roman" w:hAnsi="Times New Roman" w:cs="Times New Roman"/>
          <w:sz w:val="24"/>
          <w:szCs w:val="24"/>
        </w:rPr>
        <w:t>P</w:t>
      </w:r>
      <w:r w:rsidR="00D05DFA" w:rsidRPr="00721AE3">
        <w:rPr>
          <w:rFonts w:ascii="Times New Roman" w:hAnsi="Times New Roman" w:cs="Times New Roman"/>
          <w:sz w:val="24"/>
          <w:szCs w:val="24"/>
        </w:rPr>
        <w:t>anel a)</w:t>
      </w:r>
      <w:r w:rsidR="007453F6"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exhibit </w:t>
      </w:r>
      <w:r w:rsidR="00A3312D" w:rsidRPr="00721AE3">
        <w:rPr>
          <w:rFonts w:ascii="Times New Roman" w:hAnsi="Times New Roman" w:cs="Times New Roman"/>
          <w:sz w:val="24"/>
          <w:szCs w:val="24"/>
        </w:rPr>
        <w:t xml:space="preserve">a distinct </w:t>
      </w:r>
      <w:r w:rsidR="005A3185" w:rsidRPr="00721AE3">
        <w:rPr>
          <w:rFonts w:ascii="Times New Roman" w:hAnsi="Times New Roman" w:cs="Times New Roman"/>
          <w:sz w:val="24"/>
          <w:szCs w:val="24"/>
        </w:rPr>
        <w:t xml:space="preserve">capitalization pattern characterized by a sharp positive premium at very short walking distances, followed by a rapid transition to negative effects. The ALE curve peaks at approximately +0.07 around 0.7 km, </w:t>
      </w:r>
      <w:r w:rsidR="0092579A" w:rsidRPr="00721AE3">
        <w:rPr>
          <w:rFonts w:ascii="Times New Roman" w:hAnsi="Times New Roman" w:cs="Times New Roman"/>
          <w:sz w:val="24"/>
          <w:szCs w:val="24"/>
        </w:rPr>
        <w:t xml:space="preserve">then </w:t>
      </w:r>
      <w:r w:rsidR="00B83911" w:rsidRPr="00721AE3">
        <w:rPr>
          <w:rFonts w:ascii="Times New Roman" w:hAnsi="Times New Roman" w:cs="Times New Roman"/>
          <w:sz w:val="24"/>
          <w:szCs w:val="24"/>
        </w:rPr>
        <w:t>crosses zero at approximately 0.8 km</w:t>
      </w:r>
      <w:r w:rsidR="0092579A" w:rsidRPr="00721AE3">
        <w:rPr>
          <w:rFonts w:ascii="Times New Roman" w:hAnsi="Times New Roman" w:cs="Times New Roman"/>
          <w:sz w:val="24"/>
          <w:szCs w:val="24"/>
        </w:rPr>
        <w:t xml:space="preserve">, with only a modest recovery before declining more </w:t>
      </w:r>
      <w:r w:rsidR="007D74B3" w:rsidRPr="00721AE3">
        <w:rPr>
          <w:rFonts w:ascii="Times New Roman" w:hAnsi="Times New Roman" w:cs="Times New Roman"/>
          <w:sz w:val="24"/>
          <w:szCs w:val="24"/>
        </w:rPr>
        <w:t>gradually</w:t>
      </w:r>
      <w:r w:rsidR="0092579A" w:rsidRPr="00721AE3">
        <w:rPr>
          <w:rFonts w:ascii="Times New Roman" w:hAnsi="Times New Roman" w:cs="Times New Roman"/>
          <w:sz w:val="24"/>
          <w:szCs w:val="24"/>
        </w:rPr>
        <w:t xml:space="preserve"> beyond </w:t>
      </w:r>
      <w:r w:rsidR="009B014A" w:rsidRPr="00721AE3">
        <w:rPr>
          <w:rFonts w:ascii="Times New Roman" w:hAnsi="Times New Roman" w:cs="Times New Roman"/>
          <w:sz w:val="24"/>
          <w:szCs w:val="24"/>
        </w:rPr>
        <w:t>approximately 0</w:t>
      </w:r>
      <w:r w:rsidR="0092579A" w:rsidRPr="00721AE3">
        <w:rPr>
          <w:rFonts w:ascii="Times New Roman" w:hAnsi="Times New Roman" w:cs="Times New Roman"/>
          <w:sz w:val="24"/>
          <w:szCs w:val="24"/>
        </w:rPr>
        <w:t>.</w:t>
      </w:r>
      <w:r w:rsidR="009B014A" w:rsidRPr="00721AE3">
        <w:rPr>
          <w:rFonts w:ascii="Times New Roman" w:hAnsi="Times New Roman" w:cs="Times New Roman"/>
          <w:sz w:val="24"/>
          <w:szCs w:val="24"/>
        </w:rPr>
        <w:t>9</w:t>
      </w:r>
      <w:r w:rsidR="0092579A" w:rsidRPr="00721AE3">
        <w:rPr>
          <w:rFonts w:ascii="Times New Roman" w:hAnsi="Times New Roman" w:cs="Times New Roman"/>
          <w:sz w:val="24"/>
          <w:szCs w:val="24"/>
        </w:rPr>
        <w:t xml:space="preserve"> km</w:t>
      </w:r>
      <w:r w:rsidR="00012DAD" w:rsidRPr="00721AE3">
        <w:rPr>
          <w:rFonts w:ascii="Times New Roman" w:hAnsi="Times New Roman" w:cs="Times New Roman"/>
          <w:sz w:val="24"/>
          <w:szCs w:val="24"/>
        </w:rPr>
        <w:t xml:space="preserve">. </w:t>
      </w:r>
      <w:r w:rsidR="00535128" w:rsidRPr="00721AE3">
        <w:rPr>
          <w:rFonts w:ascii="Times New Roman" w:hAnsi="Times New Roman" w:cs="Times New Roman"/>
          <w:sz w:val="24"/>
          <w:szCs w:val="24"/>
        </w:rPr>
        <w:t xml:space="preserve">This suggests that shopping malls generate their strongest capitalization benefits only within </w:t>
      </w:r>
      <w:r w:rsidR="008D097E" w:rsidRPr="00721AE3">
        <w:rPr>
          <w:rFonts w:ascii="Times New Roman" w:hAnsi="Times New Roman" w:cs="Times New Roman"/>
          <w:sz w:val="24"/>
          <w:szCs w:val="24"/>
        </w:rPr>
        <w:t>a relatively short walking distance</w:t>
      </w:r>
      <w:r w:rsidR="00012DAD" w:rsidRPr="00721AE3">
        <w:rPr>
          <w:rFonts w:ascii="Times New Roman" w:hAnsi="Times New Roman" w:cs="Times New Roman"/>
          <w:sz w:val="24"/>
          <w:szCs w:val="24"/>
        </w:rPr>
        <w:t>, after which accessibility benefits are quickly outweighed by localized disamenities such as traffic congestion, parking pressures, pedestrian crowding, and commercial noise.</w:t>
      </w:r>
      <w:r w:rsidR="009D2D26" w:rsidRPr="00721AE3">
        <w:rPr>
          <w:rFonts w:ascii="Times New Roman" w:hAnsi="Times New Roman" w:cs="Times New Roman"/>
          <w:sz w:val="24"/>
          <w:szCs w:val="24"/>
        </w:rPr>
        <w:t xml:space="preserve"> </w:t>
      </w:r>
      <w:r w:rsidR="00C9073B" w:rsidRPr="00721AE3">
        <w:rPr>
          <w:rFonts w:ascii="Times New Roman" w:hAnsi="Times New Roman" w:cs="Times New Roman"/>
          <w:sz w:val="24"/>
          <w:szCs w:val="24"/>
        </w:rPr>
        <w:t>Compared with restaurants, shopping malls serve broader catchment areas and support less frequent but higher-order shopping activities. Their capitalization pattern therefore reflects a different balance between accessibility benefits and localized externalities</w:t>
      </w:r>
      <w:r w:rsidR="006C197F" w:rsidRPr="00721AE3">
        <w:rPr>
          <w:rFonts w:ascii="Times New Roman" w:hAnsi="Times New Roman" w:cs="Times New Roman"/>
          <w:sz w:val="24"/>
          <w:szCs w:val="24"/>
        </w:rPr>
        <w:t>.</w:t>
      </w:r>
      <w:r w:rsidR="00012DAD" w:rsidRPr="00721AE3">
        <w:rPr>
          <w:rFonts w:ascii="Times New Roman" w:hAnsi="Times New Roman" w:cs="Times New Roman"/>
          <w:sz w:val="24"/>
          <w:szCs w:val="24"/>
        </w:rPr>
        <w:t xml:space="preserve"> </w:t>
      </w:r>
      <w:r w:rsidR="00131A68" w:rsidRPr="00721AE3">
        <w:rPr>
          <w:rFonts w:ascii="Times New Roman" w:hAnsi="Times New Roman" w:cs="Times New Roman"/>
          <w:sz w:val="24"/>
          <w:szCs w:val="24"/>
        </w:rPr>
        <w:t xml:space="preserve">These </w:t>
      </w:r>
      <w:r w:rsidR="00DC2688" w:rsidRPr="00721AE3">
        <w:rPr>
          <w:rFonts w:ascii="Times New Roman" w:hAnsi="Times New Roman" w:cs="Times New Roman"/>
          <w:sz w:val="24"/>
          <w:szCs w:val="24"/>
        </w:rPr>
        <w:t>findings</w:t>
      </w:r>
      <w:r w:rsidR="00131A68" w:rsidRPr="00721AE3">
        <w:rPr>
          <w:rFonts w:ascii="Times New Roman" w:hAnsi="Times New Roman" w:cs="Times New Roman"/>
          <w:sz w:val="24"/>
          <w:szCs w:val="24"/>
        </w:rPr>
        <w:t xml:space="preserve"> are consistent with previous studies showing that the capitalization effects of large-scale commercial facilities are non-linear and context-dependent </w:t>
      </w:r>
      <w:r w:rsidRPr="00721AE3">
        <w:rPr>
          <w:rFonts w:ascii="Times New Roman" w:hAnsi="Times New Roman" w:cs="Times New Roman"/>
          <w:sz w:val="24"/>
          <w:szCs w:val="24"/>
        </w:rPr>
        <w:t>(</w:t>
      </w:r>
      <w:r w:rsidR="00D33193" w:rsidRPr="00721AE3">
        <w:rPr>
          <w:rFonts w:ascii="Times New Roman" w:hAnsi="Times New Roman" w:cs="Times New Roman"/>
          <w:sz w:val="24"/>
          <w:szCs w:val="24"/>
        </w:rPr>
        <w:t>Kholdy et al., 2014; Zhang et al., 2020</w:t>
      </w:r>
      <w:r w:rsidRPr="00721AE3">
        <w:rPr>
          <w:rFonts w:ascii="Times New Roman" w:hAnsi="Times New Roman" w:cs="Times New Roman"/>
          <w:sz w:val="24"/>
          <w:szCs w:val="24"/>
        </w:rPr>
        <w:t>; Dou et al., 2023).</w:t>
      </w:r>
      <w:r w:rsidR="005D6E78" w:rsidRPr="00721AE3">
        <w:rPr>
          <w:rFonts w:ascii="Times New Roman" w:hAnsi="Times New Roman" w:cs="Times New Roman"/>
          <w:sz w:val="24"/>
          <w:szCs w:val="24"/>
        </w:rPr>
        <w:t xml:space="preserve"> The </w:t>
      </w:r>
      <w:r w:rsidR="003D521E" w:rsidRPr="00721AE3">
        <w:rPr>
          <w:rFonts w:ascii="Times New Roman" w:hAnsi="Times New Roman" w:cs="Times New Roman"/>
          <w:sz w:val="24"/>
          <w:szCs w:val="24"/>
        </w:rPr>
        <w:t>close agreement between the SHAP and ALE curves</w:t>
      </w:r>
      <w:r w:rsidR="005D6E78" w:rsidRPr="00721AE3">
        <w:rPr>
          <w:rFonts w:ascii="Times New Roman" w:hAnsi="Times New Roman" w:cs="Times New Roman"/>
          <w:sz w:val="24"/>
          <w:szCs w:val="24"/>
        </w:rPr>
        <w:t xml:space="preserve"> reinforces the robustness of the </w:t>
      </w:r>
      <w:r w:rsidR="00E73BC0" w:rsidRPr="00721AE3">
        <w:rPr>
          <w:rFonts w:ascii="Times New Roman" w:hAnsi="Times New Roman" w:cs="Times New Roman"/>
          <w:sz w:val="24"/>
          <w:szCs w:val="24"/>
        </w:rPr>
        <w:t>estimated</w:t>
      </w:r>
      <w:r w:rsidR="005D6E78" w:rsidRPr="00721AE3">
        <w:rPr>
          <w:rFonts w:ascii="Times New Roman" w:hAnsi="Times New Roman" w:cs="Times New Roman"/>
          <w:sz w:val="24"/>
          <w:szCs w:val="24"/>
        </w:rPr>
        <w:t xml:space="preserve"> distance</w:t>
      </w:r>
      <w:r w:rsidR="0002089C" w:rsidRPr="00721AE3">
        <w:rPr>
          <w:rFonts w:ascii="Times New Roman" w:hAnsi="Times New Roman" w:cs="Times New Roman"/>
          <w:sz w:val="24"/>
          <w:szCs w:val="24"/>
        </w:rPr>
        <w:t xml:space="preserve"> </w:t>
      </w:r>
      <w:r w:rsidR="005D6E78" w:rsidRPr="00721AE3">
        <w:rPr>
          <w:rFonts w:ascii="Times New Roman" w:hAnsi="Times New Roman" w:cs="Times New Roman"/>
          <w:sz w:val="24"/>
          <w:szCs w:val="24"/>
        </w:rPr>
        <w:t xml:space="preserve">decay </w:t>
      </w:r>
      <w:r w:rsidR="003773D8" w:rsidRPr="00721AE3">
        <w:rPr>
          <w:rFonts w:ascii="Times New Roman" w:hAnsi="Times New Roman" w:cs="Times New Roman"/>
          <w:sz w:val="24"/>
          <w:szCs w:val="24"/>
        </w:rPr>
        <w:t>relationships</w:t>
      </w:r>
      <w:r w:rsidR="005D6E78" w:rsidRPr="00721AE3">
        <w:rPr>
          <w:rFonts w:ascii="Times New Roman" w:hAnsi="Times New Roman" w:cs="Times New Roman"/>
          <w:sz w:val="24"/>
          <w:szCs w:val="24"/>
        </w:rPr>
        <w:t xml:space="preserve">, while </w:t>
      </w:r>
      <w:r w:rsidR="005D6E78" w:rsidRPr="00721AE3">
        <w:rPr>
          <w:rFonts w:ascii="Times New Roman" w:hAnsi="Times New Roman" w:cs="Times New Roman"/>
          <w:sz w:val="24"/>
          <w:szCs w:val="24"/>
        </w:rPr>
        <w:lastRenderedPageBreak/>
        <w:t xml:space="preserve">minor </w:t>
      </w:r>
      <w:r w:rsidR="0097513E" w:rsidRPr="00721AE3">
        <w:rPr>
          <w:rFonts w:ascii="Times New Roman" w:hAnsi="Times New Roman" w:cs="Times New Roman"/>
          <w:sz w:val="24"/>
          <w:szCs w:val="24"/>
        </w:rPr>
        <w:t>difference</w:t>
      </w:r>
      <w:r w:rsidR="00F110E7" w:rsidRPr="00721AE3">
        <w:rPr>
          <w:rFonts w:ascii="Times New Roman" w:hAnsi="Times New Roman" w:cs="Times New Roman"/>
          <w:sz w:val="24"/>
          <w:szCs w:val="24"/>
        </w:rPr>
        <w:t>s</w:t>
      </w:r>
      <w:r w:rsidR="005D6E78" w:rsidRPr="00721AE3">
        <w:rPr>
          <w:rFonts w:ascii="Times New Roman" w:hAnsi="Times New Roman" w:cs="Times New Roman"/>
          <w:sz w:val="24"/>
          <w:szCs w:val="24"/>
        </w:rPr>
        <w:t xml:space="preserve"> reflect local heterogeneity captured by SHAP but smoothed </w:t>
      </w:r>
      <w:r w:rsidR="009B0E4D" w:rsidRPr="00721AE3">
        <w:rPr>
          <w:rFonts w:ascii="Times New Roman" w:hAnsi="Times New Roman" w:cs="Times New Roman"/>
          <w:sz w:val="24"/>
          <w:szCs w:val="24"/>
        </w:rPr>
        <w:t>by</w:t>
      </w:r>
      <w:r w:rsidR="005D6E78" w:rsidRPr="00721AE3">
        <w:rPr>
          <w:rFonts w:ascii="Times New Roman" w:hAnsi="Times New Roman" w:cs="Times New Roman"/>
          <w:sz w:val="24"/>
          <w:szCs w:val="24"/>
        </w:rPr>
        <w:t xml:space="preserve"> ALE (Molnar, 2021; Dou et al., 2023).</w:t>
      </w:r>
    </w:p>
    <w:p w14:paraId="3E701717" w14:textId="77777777" w:rsidR="009D1906" w:rsidRPr="00721AE3" w:rsidRDefault="009D1906" w:rsidP="009B6774">
      <w:pPr>
        <w:pStyle w:val="a9"/>
        <w:numPr>
          <w:ilvl w:val="2"/>
          <w:numId w:val="1"/>
        </w:numPr>
        <w:spacing w:line="360" w:lineRule="auto"/>
        <w:ind w:left="709"/>
        <w:jc w:val="both"/>
        <w:rPr>
          <w:rFonts w:ascii="Times New Roman" w:hAnsi="Times New Roman" w:cs="Times New Roman"/>
          <w:b/>
          <w:bCs/>
          <w:i/>
          <w:iCs/>
          <w:sz w:val="24"/>
          <w:szCs w:val="24"/>
        </w:rPr>
      </w:pPr>
      <w:r w:rsidRPr="00721AE3">
        <w:rPr>
          <w:rFonts w:ascii="Times New Roman" w:hAnsi="Times New Roman" w:cs="Times New Roman"/>
          <w:b/>
          <w:bCs/>
          <w:i/>
          <w:iCs/>
          <w:sz w:val="24"/>
          <w:szCs w:val="24"/>
        </w:rPr>
        <w:t>Distance to transport services</w:t>
      </w:r>
    </w:p>
    <w:p w14:paraId="6B5EE6F0" w14:textId="55148EDB" w:rsidR="008C1845" w:rsidRPr="00721AE3" w:rsidRDefault="008D2216" w:rsidP="0073517F">
      <w:pPr>
        <w:pStyle w:val="af8"/>
        <w:spacing w:after="0" w:afterAutospacing="0" w:line="480" w:lineRule="auto"/>
        <w:jc w:val="both"/>
      </w:pPr>
      <w:r w:rsidRPr="00721AE3">
        <w:t xml:space="preserve">Transport accessibility exhibits pronounced </w:t>
      </w:r>
      <w:r w:rsidR="009635C2" w:rsidRPr="00721AE3">
        <w:t xml:space="preserve">non-linear </w:t>
      </w:r>
      <w:r w:rsidRPr="00721AE3">
        <w:t>distance</w:t>
      </w:r>
      <w:r w:rsidR="00625F21" w:rsidRPr="00721AE3">
        <w:t xml:space="preserve"> </w:t>
      </w:r>
      <w:r w:rsidRPr="00721AE3">
        <w:t>decay effects on housing prices</w:t>
      </w:r>
      <w:r w:rsidR="00CD6B7F" w:rsidRPr="00721AE3">
        <w:t xml:space="preserve">, </w:t>
      </w:r>
      <w:r w:rsidR="00772B60" w:rsidRPr="00721AE3">
        <w:t xml:space="preserve">with distinct service catchments </w:t>
      </w:r>
      <w:r w:rsidR="004A4E64" w:rsidRPr="00721AE3">
        <w:t>across</w:t>
      </w:r>
      <w:r w:rsidR="00772B60" w:rsidRPr="00721AE3">
        <w:t xml:space="preserve"> transport modes</w:t>
      </w:r>
      <w:r w:rsidRPr="00721AE3">
        <w:t xml:space="preserve">. As illustrated in Figure 4, both bus stops and metro stations </w:t>
      </w:r>
      <w:r w:rsidR="003B7148" w:rsidRPr="00721AE3">
        <w:t>generate positive housing price premiums within their respective accessibility ranges, after which their effects decline and eventually become negative. Rather than sharing a common walking threshold, the two transport modes display markedly different spatial scales of influence, reflecting their complementary roles within Hong Kong's integrated public transport system.</w:t>
      </w:r>
      <w:r w:rsidRPr="00721AE3">
        <w:t xml:space="preserve"> </w:t>
      </w:r>
    </w:p>
    <w:p w14:paraId="3411450E" w14:textId="12069AE5" w:rsidR="004D5611" w:rsidRPr="00721AE3" w:rsidRDefault="00C26DE9" w:rsidP="004D5611">
      <w:pPr>
        <w:pStyle w:val="af8"/>
        <w:spacing w:after="0" w:afterAutospacing="0" w:line="480" w:lineRule="auto"/>
        <w:jc w:val="both"/>
      </w:pPr>
      <w:r w:rsidRPr="00721AE3">
        <w:rPr>
          <w:noProof/>
        </w:rPr>
        <w:drawing>
          <wp:anchor distT="0" distB="0" distL="114300" distR="114300" simplePos="0" relativeHeight="251659264" behindDoc="1" locked="0" layoutInCell="1" allowOverlap="1" wp14:anchorId="4AFBAC64" wp14:editId="59E80719">
            <wp:simplePos x="0" y="0"/>
            <wp:positionH relativeFrom="margin">
              <wp:align>left</wp:align>
            </wp:positionH>
            <wp:positionV relativeFrom="paragraph">
              <wp:posOffset>8281</wp:posOffset>
            </wp:positionV>
            <wp:extent cx="5014771" cy="2176818"/>
            <wp:effectExtent l="0" t="0" r="0" b="0"/>
            <wp:wrapNone/>
            <wp:docPr id="1945644308" name="Picture 2"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44308" name="Picture 2" descr="A graph of a graph&#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4771" cy="2176818"/>
                    </a:xfrm>
                    <a:prstGeom prst="rect">
                      <a:avLst/>
                    </a:prstGeom>
                    <a:noFill/>
                    <a:ln>
                      <a:noFill/>
                    </a:ln>
                  </pic:spPr>
                </pic:pic>
              </a:graphicData>
            </a:graphic>
          </wp:anchor>
        </w:drawing>
      </w:r>
    </w:p>
    <w:p w14:paraId="0807A65D" w14:textId="7FFAFF64" w:rsidR="00711B59" w:rsidRPr="00721AE3" w:rsidRDefault="00711B59" w:rsidP="0073517F">
      <w:pPr>
        <w:pStyle w:val="af8"/>
        <w:spacing w:after="0" w:afterAutospacing="0" w:line="480" w:lineRule="auto"/>
        <w:jc w:val="both"/>
      </w:pPr>
    </w:p>
    <w:p w14:paraId="46A509E3" w14:textId="3A6575C7" w:rsidR="008C1845" w:rsidRPr="00721AE3" w:rsidRDefault="008C1845" w:rsidP="00875034">
      <w:pPr>
        <w:pStyle w:val="af8"/>
        <w:spacing w:after="0" w:afterAutospacing="0" w:line="276" w:lineRule="auto"/>
        <w:rPr>
          <w:sz w:val="28"/>
          <w:szCs w:val="28"/>
        </w:rPr>
      </w:pPr>
    </w:p>
    <w:p w14:paraId="2BD8C85B" w14:textId="77777777" w:rsidR="00BC63AA" w:rsidRPr="00721AE3" w:rsidRDefault="00BC63AA" w:rsidP="00CE2308">
      <w:pPr>
        <w:spacing w:line="360" w:lineRule="auto"/>
        <w:jc w:val="both"/>
        <w:rPr>
          <w:rFonts w:ascii="Times New Roman" w:hAnsi="Times New Roman" w:cs="Times New Roman"/>
          <w:sz w:val="24"/>
          <w:szCs w:val="24"/>
        </w:rPr>
      </w:pPr>
    </w:p>
    <w:p w14:paraId="15FECD81" w14:textId="77777777" w:rsidR="00BC63AA" w:rsidRPr="00721AE3" w:rsidRDefault="00BC63AA" w:rsidP="00CE2308">
      <w:pPr>
        <w:spacing w:line="360" w:lineRule="auto"/>
        <w:jc w:val="both"/>
        <w:rPr>
          <w:rFonts w:ascii="Times New Roman" w:hAnsi="Times New Roman" w:cs="Times New Roman"/>
          <w:sz w:val="28"/>
          <w:szCs w:val="28"/>
        </w:rPr>
      </w:pPr>
    </w:p>
    <w:p w14:paraId="05EC8D6A" w14:textId="6596289F" w:rsidR="009D1906" w:rsidRPr="00721AE3" w:rsidRDefault="009D1906" w:rsidP="00CE2308">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Figure </w:t>
      </w:r>
      <w:r w:rsidR="00A67CE4" w:rsidRPr="00721AE3">
        <w:rPr>
          <w:rFonts w:ascii="Times New Roman" w:hAnsi="Times New Roman" w:cs="Times New Roman"/>
          <w:sz w:val="24"/>
          <w:szCs w:val="24"/>
        </w:rPr>
        <w:t>4</w:t>
      </w:r>
      <w:r w:rsidRPr="00721AE3">
        <w:rPr>
          <w:rFonts w:ascii="Times New Roman" w:hAnsi="Times New Roman" w:cs="Times New Roman"/>
          <w:sz w:val="24"/>
          <w:szCs w:val="24"/>
        </w:rPr>
        <w:t>. Distance decay effects of transport services on housing prices</w:t>
      </w:r>
    </w:p>
    <w:p w14:paraId="06FB9DEA" w14:textId="2AB52389" w:rsidR="004E0BEA" w:rsidRPr="00721AE3" w:rsidRDefault="0009542A"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Bus stops (Panel a) display a highly localized capitalization pattern.</w:t>
      </w:r>
      <w:r w:rsidR="006012F9" w:rsidRPr="00721AE3">
        <w:rPr>
          <w:rFonts w:ascii="Times New Roman" w:hAnsi="Times New Roman" w:cs="Times New Roman"/>
          <w:sz w:val="24"/>
          <w:szCs w:val="24"/>
        </w:rPr>
        <w:t xml:space="preserve"> </w:t>
      </w:r>
      <w:r w:rsidRPr="00721AE3">
        <w:rPr>
          <w:rFonts w:ascii="Times New Roman" w:hAnsi="Times New Roman" w:cs="Times New Roman"/>
          <w:sz w:val="24"/>
          <w:szCs w:val="24"/>
        </w:rPr>
        <w:t>T</w:t>
      </w:r>
      <w:r w:rsidR="006012F9" w:rsidRPr="00721AE3">
        <w:rPr>
          <w:rFonts w:ascii="Times New Roman" w:hAnsi="Times New Roman" w:cs="Times New Roman"/>
          <w:sz w:val="24"/>
          <w:szCs w:val="24"/>
        </w:rPr>
        <w:t xml:space="preserve">he ALE curve </w:t>
      </w:r>
      <w:r w:rsidR="008E030A" w:rsidRPr="00721AE3">
        <w:rPr>
          <w:rFonts w:ascii="Times New Roman" w:hAnsi="Times New Roman" w:cs="Times New Roman"/>
          <w:sz w:val="24"/>
          <w:szCs w:val="24"/>
        </w:rPr>
        <w:t>increases from approximately +0.</w:t>
      </w:r>
      <w:r w:rsidR="006756ED" w:rsidRPr="00721AE3">
        <w:rPr>
          <w:rFonts w:ascii="Times New Roman" w:hAnsi="Times New Roman" w:cs="Times New Roman"/>
          <w:sz w:val="24"/>
          <w:szCs w:val="24"/>
        </w:rPr>
        <w:t>18</w:t>
      </w:r>
      <w:r w:rsidR="008E030A" w:rsidRPr="00721AE3">
        <w:rPr>
          <w:rFonts w:ascii="Times New Roman" w:hAnsi="Times New Roman" w:cs="Times New Roman"/>
          <w:sz w:val="24"/>
          <w:szCs w:val="24"/>
        </w:rPr>
        <w:t xml:space="preserve"> at 0.</w:t>
      </w:r>
      <w:r w:rsidR="00FC7BB8" w:rsidRPr="00721AE3">
        <w:rPr>
          <w:rFonts w:ascii="Times New Roman" w:hAnsi="Times New Roman" w:cs="Times New Roman"/>
          <w:sz w:val="24"/>
          <w:szCs w:val="24"/>
        </w:rPr>
        <w:t>18</w:t>
      </w:r>
      <w:r w:rsidR="008E030A" w:rsidRPr="00721AE3">
        <w:rPr>
          <w:rFonts w:ascii="Times New Roman" w:hAnsi="Times New Roman" w:cs="Times New Roman"/>
          <w:sz w:val="24"/>
          <w:szCs w:val="24"/>
        </w:rPr>
        <w:t xml:space="preserve"> km to a peak of nearly +0.26 at</w:t>
      </w:r>
      <w:r w:rsidR="00F0485C" w:rsidRPr="00721AE3">
        <w:rPr>
          <w:rFonts w:ascii="Times New Roman" w:hAnsi="Times New Roman" w:cs="Times New Roman"/>
          <w:sz w:val="24"/>
          <w:szCs w:val="24"/>
        </w:rPr>
        <w:t xml:space="preserve"> </w:t>
      </w:r>
      <w:r w:rsidR="003E3060" w:rsidRPr="00721AE3">
        <w:rPr>
          <w:rFonts w:ascii="Times New Roman" w:hAnsi="Times New Roman" w:cs="Times New Roman"/>
          <w:sz w:val="24"/>
          <w:szCs w:val="24"/>
        </w:rPr>
        <w:t>0.</w:t>
      </w:r>
      <w:r w:rsidR="00FC7BB8" w:rsidRPr="00721AE3">
        <w:rPr>
          <w:rFonts w:ascii="Times New Roman" w:hAnsi="Times New Roman" w:cs="Times New Roman"/>
          <w:sz w:val="24"/>
          <w:szCs w:val="24"/>
        </w:rPr>
        <w:t>2</w:t>
      </w:r>
      <w:r w:rsidR="003E3060" w:rsidRPr="00721AE3">
        <w:rPr>
          <w:rFonts w:ascii="Times New Roman" w:hAnsi="Times New Roman" w:cs="Times New Roman"/>
          <w:sz w:val="24"/>
          <w:szCs w:val="24"/>
        </w:rPr>
        <w:t xml:space="preserve"> km, then declines sharply and crosses</w:t>
      </w:r>
      <w:r w:rsidR="008E030A" w:rsidRPr="00721AE3">
        <w:rPr>
          <w:rFonts w:ascii="Times New Roman" w:hAnsi="Times New Roman" w:cs="Times New Roman"/>
          <w:sz w:val="24"/>
          <w:szCs w:val="24"/>
        </w:rPr>
        <w:t xml:space="preserve"> zero at approximately 0.21 km. Beyond this point, the contribution decreases rapidly to approximately </w:t>
      </w:r>
      <w:r w:rsidR="00E91194" w:rsidRPr="00721AE3">
        <w:rPr>
          <w:rFonts w:ascii="Times New Roman" w:hAnsi="Times New Roman" w:cs="Times New Roman"/>
          <w:sz w:val="24"/>
          <w:szCs w:val="24"/>
        </w:rPr>
        <w:t>–0.40</w:t>
      </w:r>
      <w:r w:rsidR="008E030A" w:rsidRPr="00721AE3">
        <w:rPr>
          <w:rFonts w:ascii="Times New Roman" w:hAnsi="Times New Roman" w:cs="Times New Roman"/>
          <w:sz w:val="24"/>
          <w:szCs w:val="24"/>
        </w:rPr>
        <w:t xml:space="preserve">. This narrow service catchment </w:t>
      </w:r>
      <w:r w:rsidR="002B3EBD" w:rsidRPr="00721AE3">
        <w:rPr>
          <w:rFonts w:ascii="Times New Roman" w:hAnsi="Times New Roman" w:cs="Times New Roman"/>
          <w:sz w:val="24"/>
          <w:szCs w:val="24"/>
        </w:rPr>
        <w:t>indicates</w:t>
      </w:r>
      <w:r w:rsidR="008E030A" w:rsidRPr="00721AE3">
        <w:rPr>
          <w:rFonts w:ascii="Times New Roman" w:hAnsi="Times New Roman" w:cs="Times New Roman"/>
          <w:sz w:val="24"/>
          <w:szCs w:val="24"/>
        </w:rPr>
        <w:t xml:space="preserve"> that the </w:t>
      </w:r>
      <w:r w:rsidR="00DF6471" w:rsidRPr="00721AE3">
        <w:rPr>
          <w:rFonts w:ascii="Times New Roman" w:hAnsi="Times New Roman" w:cs="Times New Roman"/>
          <w:sz w:val="24"/>
          <w:szCs w:val="24"/>
        </w:rPr>
        <w:t>capitalization benefits</w:t>
      </w:r>
      <w:r w:rsidR="008E030A" w:rsidRPr="00721AE3">
        <w:rPr>
          <w:rFonts w:ascii="Times New Roman" w:hAnsi="Times New Roman" w:cs="Times New Roman"/>
          <w:sz w:val="24"/>
          <w:szCs w:val="24"/>
        </w:rPr>
        <w:t xml:space="preserve"> of bus accessibility </w:t>
      </w:r>
      <w:r w:rsidR="008A79BD" w:rsidRPr="00721AE3">
        <w:rPr>
          <w:rFonts w:ascii="Times New Roman" w:hAnsi="Times New Roman" w:cs="Times New Roman"/>
          <w:sz w:val="24"/>
          <w:szCs w:val="24"/>
        </w:rPr>
        <w:t>are</w:t>
      </w:r>
      <w:r w:rsidR="008E030A" w:rsidRPr="00721AE3">
        <w:rPr>
          <w:rFonts w:ascii="Times New Roman" w:hAnsi="Times New Roman" w:cs="Times New Roman"/>
          <w:sz w:val="24"/>
          <w:szCs w:val="24"/>
        </w:rPr>
        <w:t xml:space="preserve"> concentrated within very short walking distances, consistent with the role of </w:t>
      </w:r>
      <w:r w:rsidR="008E030A" w:rsidRPr="00721AE3">
        <w:rPr>
          <w:rFonts w:ascii="Times New Roman" w:hAnsi="Times New Roman" w:cs="Times New Roman"/>
          <w:sz w:val="24"/>
          <w:szCs w:val="24"/>
        </w:rPr>
        <w:lastRenderedPageBreak/>
        <w:t>bus services in supporting neighborhood-level mobility</w:t>
      </w:r>
      <w:r w:rsidR="00532C36" w:rsidRPr="00721AE3">
        <w:rPr>
          <w:rFonts w:ascii="Times New Roman" w:hAnsi="Times New Roman" w:cs="Times New Roman"/>
          <w:sz w:val="24"/>
          <w:szCs w:val="24"/>
        </w:rPr>
        <w:t xml:space="preserve"> and first-mile/last-mile access to the wider transport network.</w:t>
      </w:r>
      <w:r w:rsidR="006012F9" w:rsidRPr="00721AE3">
        <w:rPr>
          <w:rFonts w:ascii="Times New Roman" w:hAnsi="Times New Roman" w:cs="Times New Roman"/>
          <w:sz w:val="24"/>
          <w:szCs w:val="24"/>
        </w:rPr>
        <w:t xml:space="preserve"> SHAP values </w:t>
      </w:r>
      <w:r w:rsidR="00EF157F" w:rsidRPr="00721AE3">
        <w:rPr>
          <w:rFonts w:ascii="Times New Roman" w:hAnsi="Times New Roman" w:cs="Times New Roman"/>
          <w:sz w:val="24"/>
          <w:szCs w:val="24"/>
        </w:rPr>
        <w:t xml:space="preserve">broadly follow the same trend </w:t>
      </w:r>
      <w:r w:rsidR="006012F9" w:rsidRPr="00721AE3">
        <w:rPr>
          <w:rFonts w:ascii="Times New Roman" w:hAnsi="Times New Roman" w:cs="Times New Roman"/>
          <w:sz w:val="24"/>
          <w:szCs w:val="24"/>
        </w:rPr>
        <w:t xml:space="preserve">but display greater local dispersion, reflecting </w:t>
      </w:r>
      <w:r w:rsidR="003009BE" w:rsidRPr="00721AE3">
        <w:rPr>
          <w:rFonts w:ascii="Times New Roman" w:hAnsi="Times New Roman" w:cs="Times New Roman"/>
          <w:sz w:val="24"/>
          <w:szCs w:val="24"/>
        </w:rPr>
        <w:t>neighborhood</w:t>
      </w:r>
      <w:r w:rsidR="006012F9" w:rsidRPr="00721AE3">
        <w:rPr>
          <w:rFonts w:ascii="Times New Roman" w:hAnsi="Times New Roman" w:cs="Times New Roman"/>
          <w:sz w:val="24"/>
          <w:szCs w:val="24"/>
        </w:rPr>
        <w:t>-level heterogeneity in bus service dependence and surrounding land-use intensity.</w:t>
      </w:r>
    </w:p>
    <w:p w14:paraId="70494DC4" w14:textId="5919B928" w:rsidR="00973F99" w:rsidRPr="00721AE3" w:rsidRDefault="00F77E9E"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Metro stations (Panel b), by contrast, exert a stronger and substantially broader influence on housing prices. The ALE curve reaches a maximum contribution of approximately +0.42 at </w:t>
      </w:r>
      <w:r w:rsidR="00FB6899" w:rsidRPr="00721AE3">
        <w:rPr>
          <w:rFonts w:ascii="Times New Roman" w:hAnsi="Times New Roman" w:cs="Times New Roman"/>
          <w:sz w:val="24"/>
          <w:szCs w:val="24"/>
        </w:rPr>
        <w:t>a network distance of approximately 2.8 km, then declines rapidly and becomes</w:t>
      </w:r>
      <w:r w:rsidR="007F7E94" w:rsidRPr="00721AE3">
        <w:rPr>
          <w:rFonts w:ascii="Times New Roman" w:hAnsi="Times New Roman" w:cs="Times New Roman"/>
          <w:sz w:val="24"/>
          <w:szCs w:val="24"/>
        </w:rPr>
        <w:t xml:space="preserve"> negative </w:t>
      </w:r>
      <w:r w:rsidR="00F52BFB" w:rsidRPr="00721AE3">
        <w:rPr>
          <w:rFonts w:ascii="Times New Roman" w:hAnsi="Times New Roman" w:cs="Times New Roman"/>
          <w:sz w:val="24"/>
          <w:szCs w:val="24"/>
        </w:rPr>
        <w:t>at approximately</w:t>
      </w:r>
      <w:r w:rsidR="007F7E94" w:rsidRPr="00721AE3">
        <w:rPr>
          <w:rFonts w:ascii="Times New Roman" w:hAnsi="Times New Roman" w:cs="Times New Roman"/>
          <w:sz w:val="24"/>
          <w:szCs w:val="24"/>
        </w:rPr>
        <w:t xml:space="preserve"> 5.5 km. Beyond this threshold, the capitalization effect remains predominantly negative and gradually weakens with increasing distance</w:t>
      </w:r>
      <w:r w:rsidRPr="00721AE3">
        <w:rPr>
          <w:rFonts w:ascii="Times New Roman" w:hAnsi="Times New Roman" w:cs="Times New Roman"/>
          <w:sz w:val="24"/>
          <w:szCs w:val="24"/>
        </w:rPr>
        <w:t xml:space="preserve">. Compared with bus stops, metro accessibility produces considerably larger positive and negative effects, indicating that rail services influence location decisions across much larger spatial scales. </w:t>
      </w:r>
      <w:r w:rsidR="001258DB" w:rsidRPr="00721AE3">
        <w:rPr>
          <w:rFonts w:ascii="Times New Roman" w:hAnsi="Times New Roman" w:cs="Times New Roman"/>
          <w:sz w:val="24"/>
          <w:szCs w:val="24"/>
        </w:rPr>
        <w:t>This broader service catchment reflects the role of Hong Kong's metro system as the backbone of metropolitan accessibility, connecting residential neighborhoods with major employment centres, commercial districts, and other activity hubs</w:t>
      </w:r>
      <w:r w:rsidRPr="00721AE3">
        <w:rPr>
          <w:rFonts w:ascii="Times New Roman" w:hAnsi="Times New Roman" w:cs="Times New Roman"/>
          <w:sz w:val="24"/>
          <w:szCs w:val="24"/>
        </w:rPr>
        <w:t xml:space="preserve">. Although SHAP values exhibit greater variability at intermediate distances, they closely reproduce the overall ALE pattern, </w:t>
      </w:r>
      <w:r w:rsidR="00496544" w:rsidRPr="00721AE3">
        <w:rPr>
          <w:rFonts w:ascii="Times New Roman" w:hAnsi="Times New Roman" w:cs="Times New Roman"/>
          <w:sz w:val="24"/>
          <w:szCs w:val="24"/>
        </w:rPr>
        <w:t>indicating substantial neighborhood-level heterogeneity while reinforcing the robustness of the overall distance</w:t>
      </w:r>
      <w:r w:rsidR="00625F21" w:rsidRPr="00721AE3">
        <w:rPr>
          <w:rFonts w:ascii="Times New Roman" w:hAnsi="Times New Roman" w:cs="Times New Roman"/>
          <w:sz w:val="24"/>
          <w:szCs w:val="24"/>
        </w:rPr>
        <w:t xml:space="preserve"> </w:t>
      </w:r>
      <w:r w:rsidR="00496544" w:rsidRPr="00721AE3">
        <w:rPr>
          <w:rFonts w:ascii="Times New Roman" w:hAnsi="Times New Roman" w:cs="Times New Roman"/>
          <w:sz w:val="24"/>
          <w:szCs w:val="24"/>
        </w:rPr>
        <w:t>decay relationship identified by the ALE curve</w:t>
      </w:r>
      <w:r w:rsidRPr="00721AE3">
        <w:rPr>
          <w:rFonts w:ascii="Times New Roman" w:hAnsi="Times New Roman" w:cs="Times New Roman"/>
          <w:sz w:val="24"/>
          <w:szCs w:val="24"/>
        </w:rPr>
        <w:t>.</w:t>
      </w:r>
    </w:p>
    <w:p w14:paraId="77879FC3" w14:textId="1B4E32F2" w:rsidR="00954A7B" w:rsidRPr="00721AE3" w:rsidRDefault="00A755E5"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Overall, the transport results demonstrate that accessibility premiums are governed by mode-specific service catchments rather than a universal walking threshold. Bus accessibility is highly localized because it primarily supports short </w:t>
      </w:r>
      <w:r w:rsidR="00954A7B" w:rsidRPr="00721AE3">
        <w:rPr>
          <w:rFonts w:ascii="Times New Roman" w:hAnsi="Times New Roman" w:cs="Times New Roman"/>
          <w:sz w:val="24"/>
          <w:szCs w:val="24"/>
        </w:rPr>
        <w:t>neighborhood</w:t>
      </w:r>
      <w:r w:rsidRPr="00721AE3">
        <w:rPr>
          <w:rFonts w:ascii="Times New Roman" w:hAnsi="Times New Roman" w:cs="Times New Roman"/>
          <w:sz w:val="24"/>
          <w:szCs w:val="24"/>
        </w:rPr>
        <w:t xml:space="preserve"> trips, </w:t>
      </w:r>
      <w:r w:rsidR="00314052" w:rsidRPr="00721AE3">
        <w:rPr>
          <w:rFonts w:ascii="Times New Roman" w:hAnsi="Times New Roman" w:cs="Times New Roman"/>
          <w:sz w:val="24"/>
          <w:szCs w:val="24"/>
        </w:rPr>
        <w:t>whereas metro accessibility extends over much broader network distances because rail services provide high-capacity regional connectivity between residential areas and major urban activity centres</w:t>
      </w:r>
      <w:r w:rsidRPr="00721AE3">
        <w:rPr>
          <w:rFonts w:ascii="Times New Roman" w:hAnsi="Times New Roman" w:cs="Times New Roman"/>
          <w:sz w:val="24"/>
          <w:szCs w:val="24"/>
        </w:rPr>
        <w:t xml:space="preserve">. </w:t>
      </w:r>
      <w:r w:rsidR="005E203D" w:rsidRPr="00721AE3">
        <w:rPr>
          <w:rFonts w:ascii="Times New Roman" w:hAnsi="Times New Roman" w:cs="Times New Roman"/>
          <w:sz w:val="24"/>
          <w:szCs w:val="24"/>
        </w:rPr>
        <w:t>These findings further demonstrate that transport accessibility is characterized by amenity-specific, non-linear distance</w:t>
      </w:r>
      <w:r w:rsidR="00FA743A" w:rsidRPr="00721AE3">
        <w:rPr>
          <w:rFonts w:ascii="Times New Roman" w:hAnsi="Times New Roman" w:cs="Times New Roman"/>
          <w:sz w:val="24"/>
          <w:szCs w:val="24"/>
        </w:rPr>
        <w:t xml:space="preserve"> </w:t>
      </w:r>
      <w:r w:rsidR="005E203D" w:rsidRPr="00721AE3">
        <w:rPr>
          <w:rFonts w:ascii="Times New Roman" w:hAnsi="Times New Roman" w:cs="Times New Roman"/>
          <w:sz w:val="24"/>
          <w:szCs w:val="24"/>
        </w:rPr>
        <w:lastRenderedPageBreak/>
        <w:t>decay relationships rather than uniform accessibility effects, consistent with recent explainable artificial intelligence (XAI) studies</w:t>
      </w:r>
      <w:r w:rsidRPr="00721AE3">
        <w:rPr>
          <w:rFonts w:ascii="Times New Roman" w:hAnsi="Times New Roman" w:cs="Times New Roman"/>
          <w:sz w:val="24"/>
          <w:szCs w:val="24"/>
        </w:rPr>
        <w:t xml:space="preserve"> (Dou et al., 2023</w:t>
      </w:r>
      <w:r w:rsidR="00A44237" w:rsidRPr="00721AE3">
        <w:rPr>
          <w:rFonts w:ascii="Times New Roman" w:hAnsi="Times New Roman" w:cs="Times New Roman"/>
          <w:sz w:val="24"/>
          <w:szCs w:val="24"/>
        </w:rPr>
        <w:t>; Lee et al., 2025</w:t>
      </w:r>
      <w:r w:rsidRPr="00721AE3">
        <w:rPr>
          <w:rFonts w:ascii="Times New Roman" w:hAnsi="Times New Roman" w:cs="Times New Roman"/>
          <w:sz w:val="24"/>
          <w:szCs w:val="24"/>
        </w:rPr>
        <w:t>).</w:t>
      </w:r>
    </w:p>
    <w:p w14:paraId="2EDC51DA" w14:textId="19242BD3" w:rsidR="00094FC2" w:rsidRPr="00721AE3" w:rsidRDefault="00094FC2" w:rsidP="00CE2308">
      <w:pPr>
        <w:pStyle w:val="a9"/>
        <w:numPr>
          <w:ilvl w:val="2"/>
          <w:numId w:val="1"/>
        </w:numPr>
        <w:spacing w:line="360" w:lineRule="auto"/>
        <w:ind w:left="709"/>
        <w:jc w:val="both"/>
        <w:rPr>
          <w:rFonts w:ascii="Times New Roman" w:hAnsi="Times New Roman" w:cs="Times New Roman"/>
          <w:b/>
          <w:bCs/>
          <w:i/>
          <w:iCs/>
          <w:sz w:val="24"/>
          <w:szCs w:val="24"/>
        </w:rPr>
      </w:pPr>
      <w:r w:rsidRPr="00721AE3">
        <w:rPr>
          <w:rFonts w:ascii="Times New Roman" w:hAnsi="Times New Roman" w:cs="Times New Roman"/>
          <w:b/>
          <w:bCs/>
          <w:i/>
          <w:iCs/>
          <w:sz w:val="24"/>
          <w:szCs w:val="24"/>
        </w:rPr>
        <w:t xml:space="preserve">Distance to </w:t>
      </w:r>
      <w:r w:rsidR="008810ED" w:rsidRPr="00721AE3">
        <w:rPr>
          <w:rFonts w:ascii="Times New Roman" w:hAnsi="Times New Roman" w:cs="Times New Roman"/>
          <w:b/>
          <w:bCs/>
          <w:i/>
          <w:iCs/>
          <w:sz w:val="24"/>
          <w:szCs w:val="24"/>
        </w:rPr>
        <w:t>n</w:t>
      </w:r>
      <w:r w:rsidRPr="00721AE3">
        <w:rPr>
          <w:rFonts w:ascii="Times New Roman" w:hAnsi="Times New Roman" w:cs="Times New Roman"/>
          <w:b/>
          <w:bCs/>
          <w:i/>
          <w:iCs/>
          <w:sz w:val="24"/>
          <w:szCs w:val="24"/>
        </w:rPr>
        <w:t>atural and recreational amenities</w:t>
      </w:r>
    </w:p>
    <w:p w14:paraId="0D01394B" w14:textId="0517C4F7" w:rsidR="007C216C" w:rsidRPr="00721AE3" w:rsidRDefault="00205DA6"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Figure 5 shows that natural and recreational amenities exhibit pronounced</w:t>
      </w:r>
      <w:r w:rsidR="00BC0CD8" w:rsidRPr="00721AE3">
        <w:rPr>
          <w:rFonts w:ascii="Times New Roman" w:hAnsi="Times New Roman" w:cs="Times New Roman"/>
          <w:sz w:val="24"/>
          <w:szCs w:val="24"/>
        </w:rPr>
        <w:t>,</w:t>
      </w:r>
      <w:r w:rsidRPr="00721AE3">
        <w:rPr>
          <w:rFonts w:ascii="Times New Roman" w:hAnsi="Times New Roman" w:cs="Times New Roman"/>
          <w:sz w:val="24"/>
          <w:szCs w:val="24"/>
        </w:rPr>
        <w:t xml:space="preserve"> highly non-linear</w:t>
      </w:r>
      <w:r w:rsidR="00E54E86" w:rsidRPr="00721AE3">
        <w:rPr>
          <w:rFonts w:ascii="Times New Roman" w:hAnsi="Times New Roman" w:cs="Times New Roman"/>
          <w:sz w:val="24"/>
          <w:szCs w:val="24"/>
        </w:rPr>
        <w:t>,</w:t>
      </w:r>
      <w:r w:rsidRPr="00721AE3">
        <w:rPr>
          <w:rFonts w:ascii="Times New Roman" w:hAnsi="Times New Roman" w:cs="Times New Roman"/>
          <w:sz w:val="24"/>
          <w:szCs w:val="24"/>
        </w:rPr>
        <w:t xml:space="preserve"> </w:t>
      </w:r>
      <w:r w:rsidR="003E4803" w:rsidRPr="00721AE3">
        <w:rPr>
          <w:rFonts w:ascii="Times New Roman" w:hAnsi="Times New Roman" w:cs="Times New Roman"/>
          <w:sz w:val="24"/>
          <w:szCs w:val="24"/>
        </w:rPr>
        <w:t xml:space="preserve">and threshold-dependent </w:t>
      </w:r>
      <w:r w:rsidRPr="00721AE3">
        <w:rPr>
          <w:rFonts w:ascii="Times New Roman" w:hAnsi="Times New Roman" w:cs="Times New Roman"/>
          <w:sz w:val="24"/>
          <w:szCs w:val="24"/>
        </w:rPr>
        <w:t>distance</w:t>
      </w:r>
      <w:r w:rsidR="00FA743A" w:rsidRPr="00721AE3">
        <w:rPr>
          <w:rFonts w:ascii="Times New Roman" w:hAnsi="Times New Roman" w:cs="Times New Roman"/>
          <w:sz w:val="24"/>
          <w:szCs w:val="24"/>
        </w:rPr>
        <w:t xml:space="preserve"> </w:t>
      </w:r>
      <w:r w:rsidRPr="00721AE3">
        <w:rPr>
          <w:rFonts w:ascii="Times New Roman" w:hAnsi="Times New Roman" w:cs="Times New Roman"/>
          <w:sz w:val="24"/>
          <w:szCs w:val="24"/>
        </w:rPr>
        <w:t>decay effects</w:t>
      </w:r>
      <w:r w:rsidR="006B7B98" w:rsidRPr="00721AE3">
        <w:rPr>
          <w:rFonts w:ascii="Times New Roman" w:hAnsi="Times New Roman" w:cs="Times New Roman"/>
          <w:sz w:val="24"/>
          <w:szCs w:val="24"/>
        </w:rPr>
        <w:t xml:space="preserve"> on housing prices</w:t>
      </w:r>
      <w:r w:rsidRPr="00721AE3">
        <w:rPr>
          <w:rFonts w:ascii="Times New Roman" w:hAnsi="Times New Roman" w:cs="Times New Roman"/>
          <w:sz w:val="24"/>
          <w:szCs w:val="24"/>
        </w:rPr>
        <w:t xml:space="preserve">. </w:t>
      </w:r>
      <w:r w:rsidR="00F418E4" w:rsidRPr="00721AE3">
        <w:rPr>
          <w:rFonts w:ascii="Times New Roman" w:hAnsi="Times New Roman" w:cs="Times New Roman"/>
          <w:sz w:val="24"/>
          <w:szCs w:val="24"/>
        </w:rPr>
        <w:t xml:space="preserve">Across all three amenity types, accessibility premiums are concentrated within relatively short walking distances, indicating that the value of environmental and recreational amenities depends primarily on convenient pedestrian access rather than </w:t>
      </w:r>
      <w:r w:rsidR="008C16EE" w:rsidRPr="00721AE3">
        <w:rPr>
          <w:rFonts w:ascii="Times New Roman" w:hAnsi="Times New Roman" w:cs="Times New Roman"/>
          <w:sz w:val="24"/>
          <w:szCs w:val="24"/>
        </w:rPr>
        <w:t>mere</w:t>
      </w:r>
      <w:r w:rsidR="00F418E4" w:rsidRPr="00721AE3">
        <w:rPr>
          <w:rFonts w:ascii="Times New Roman" w:hAnsi="Times New Roman" w:cs="Times New Roman"/>
          <w:sz w:val="24"/>
          <w:szCs w:val="24"/>
        </w:rPr>
        <w:t xml:space="preserve"> geographic proximity</w:t>
      </w:r>
      <w:r w:rsidR="00830554" w:rsidRPr="00721AE3">
        <w:rPr>
          <w:rFonts w:ascii="Times New Roman" w:hAnsi="Times New Roman" w:cs="Times New Roman"/>
          <w:sz w:val="24"/>
          <w:szCs w:val="24"/>
        </w:rPr>
        <w:t>.</w:t>
      </w:r>
    </w:p>
    <w:p w14:paraId="560B2826" w14:textId="6B3A3BB7" w:rsidR="00AD1571" w:rsidRPr="00721AE3" w:rsidRDefault="00C4497B"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For greenspaces (Panel a), the relationship with housing prices is distinctly non-linear. Very close proximity is associated with weak or slightly negative capitalization effects, followed by a sharp increase in housing premiums as walking distance approaches approximately </w:t>
      </w:r>
      <w:r w:rsidR="00813A6E" w:rsidRPr="00721AE3">
        <w:rPr>
          <w:rFonts w:ascii="Times New Roman" w:hAnsi="Times New Roman" w:cs="Times New Roman"/>
          <w:sz w:val="24"/>
          <w:szCs w:val="24"/>
        </w:rPr>
        <w:t>0.94</w:t>
      </w:r>
      <w:r w:rsidRPr="00721AE3">
        <w:rPr>
          <w:rFonts w:ascii="Times New Roman" w:hAnsi="Times New Roman" w:cs="Times New Roman"/>
          <w:sz w:val="24"/>
          <w:szCs w:val="24"/>
        </w:rPr>
        <w:t xml:space="preserve"> km. The ALE curve reaches its maximum between approximately 1.05 and 1.10 km before declining gradually, crossing zero at around 1.50 km and becoming negative thereafter. This pattern suggests that the highest housing premiums are associated with convenient, but not immediate, access to urban greenspaces. While residents value nearby parks for recreation and environmental quality, properties located directly adjacent to greenspaces may also experience localized externalities, such as visitor activity, maintenance operations, and edge effects, which partly offset these benefits. At greater distances, the recreational and environmental advantages become progressively less accessible, leading to declining capitalization effects. These findings are consistent with evidence that the value of urban greenspaces is highly non-linear and context-dependent, with optimal accessibility occurring within a moderate walking distance rather than at the closest possible location </w:t>
      </w:r>
      <w:r w:rsidR="00AD1571" w:rsidRPr="00721AE3">
        <w:rPr>
          <w:rFonts w:ascii="Times New Roman" w:hAnsi="Times New Roman" w:cs="Times New Roman"/>
          <w:sz w:val="24"/>
          <w:szCs w:val="24"/>
        </w:rPr>
        <w:t>(Łaszkiewicz et al., 2022; Z. Liu et al., 2024; Chen et al., 2025; X. Liu et al., 2026).</w:t>
      </w:r>
    </w:p>
    <w:p w14:paraId="6B96C3AA" w14:textId="4F1F599A" w:rsidR="00CB7C74" w:rsidRPr="00721AE3" w:rsidRDefault="00790E3B"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lastRenderedPageBreak/>
        <w:t>Scenic spots (Panel b) display a broader service catchment. Housing prices remain positively associated with accessibility until approximately 0.7</w:t>
      </w:r>
      <w:r w:rsidR="008E1A01" w:rsidRPr="00721AE3">
        <w:rPr>
          <w:rFonts w:ascii="Times New Roman" w:hAnsi="Times New Roman" w:cs="Times New Roman"/>
          <w:sz w:val="24"/>
          <w:szCs w:val="24"/>
        </w:rPr>
        <w:t>2</w:t>
      </w:r>
      <w:r w:rsidRPr="00721AE3">
        <w:rPr>
          <w:rFonts w:ascii="Times New Roman" w:hAnsi="Times New Roman" w:cs="Times New Roman"/>
          <w:sz w:val="24"/>
          <w:szCs w:val="24"/>
        </w:rPr>
        <w:t xml:space="preserve"> km, after which the ALE curve declines sharply and remains negative. Unlike neighborhood parks, scenic attractions are typically visited less frequently and attract users from a wider area, </w:t>
      </w:r>
      <w:r w:rsidR="005756BA" w:rsidRPr="00721AE3">
        <w:rPr>
          <w:rFonts w:ascii="Times New Roman" w:hAnsi="Times New Roman" w:cs="Times New Roman"/>
          <w:sz w:val="24"/>
          <w:szCs w:val="24"/>
        </w:rPr>
        <w:t>allowing their accessibility benefits to extend across a broader spatial catchment</w:t>
      </w:r>
      <w:r w:rsidRPr="00721AE3">
        <w:rPr>
          <w:rFonts w:ascii="Times New Roman" w:hAnsi="Times New Roman" w:cs="Times New Roman"/>
          <w:sz w:val="24"/>
          <w:szCs w:val="24"/>
        </w:rPr>
        <w:t>. Nevertheless, once accessibility falls beyond the effective service range, their contribution to housing values diminishes rapidly.</w:t>
      </w:r>
      <w:r w:rsidR="00F3159E" w:rsidRPr="00721AE3">
        <w:rPr>
          <w:rFonts w:ascii="Times New Roman" w:hAnsi="Times New Roman" w:cs="Times New Roman"/>
          <w:sz w:val="24"/>
          <w:szCs w:val="24"/>
        </w:rPr>
        <w:t xml:space="preserve"> </w:t>
      </w:r>
      <w:r w:rsidR="00FF3FA9" w:rsidRPr="00721AE3">
        <w:rPr>
          <w:rFonts w:ascii="Times New Roman" w:hAnsi="Times New Roman" w:cs="Times New Roman"/>
          <w:sz w:val="24"/>
          <w:szCs w:val="24"/>
        </w:rPr>
        <w:t>Such non-monotonic and context-dependent effects are consistent with recent explainable machine learning evidence highlighting spatial heterogeneity in amenity valuation (Dou et al., 2023</w:t>
      </w:r>
      <w:r w:rsidR="00B14FFD" w:rsidRPr="00721AE3">
        <w:rPr>
          <w:rFonts w:ascii="Times New Roman" w:hAnsi="Times New Roman" w:cs="Times New Roman"/>
          <w:sz w:val="24"/>
          <w:szCs w:val="24"/>
        </w:rPr>
        <w:t>; Liu et al.</w:t>
      </w:r>
      <w:r w:rsidR="00A37575" w:rsidRPr="00721AE3">
        <w:rPr>
          <w:rFonts w:ascii="Times New Roman" w:hAnsi="Times New Roman" w:cs="Times New Roman"/>
          <w:sz w:val="24"/>
          <w:szCs w:val="24"/>
        </w:rPr>
        <w:t>,</w:t>
      </w:r>
      <w:r w:rsidR="00B14FFD" w:rsidRPr="00721AE3">
        <w:rPr>
          <w:rFonts w:ascii="Times New Roman" w:hAnsi="Times New Roman" w:cs="Times New Roman"/>
          <w:sz w:val="24"/>
          <w:szCs w:val="24"/>
        </w:rPr>
        <w:t xml:space="preserve"> 2026</w:t>
      </w:r>
      <w:r w:rsidR="00FF3FA9" w:rsidRPr="00721AE3">
        <w:rPr>
          <w:rFonts w:ascii="Times New Roman" w:hAnsi="Times New Roman" w:cs="Times New Roman"/>
          <w:sz w:val="24"/>
          <w:szCs w:val="24"/>
        </w:rPr>
        <w:t>).</w:t>
      </w:r>
      <w:r w:rsidR="0066071F" w:rsidRPr="00721AE3">
        <w:rPr>
          <w:rFonts w:ascii="Times New Roman" w:hAnsi="Times New Roman" w:cs="Times New Roman"/>
          <w:sz w:val="24"/>
          <w:szCs w:val="24"/>
        </w:rPr>
        <w:t xml:space="preserve"> </w:t>
      </w:r>
    </w:p>
    <w:p w14:paraId="6B567416" w14:textId="50236BA0" w:rsidR="00A663AF" w:rsidRPr="00721AE3" w:rsidRDefault="00B96EBA"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Leisure and sport facilities (Panel c) exhibit an intermediate pattern between greenspaces and scenic spots. Positive capitalization effects are maintained within approximately 0.</w:t>
      </w:r>
      <w:r w:rsidR="00FA1D36" w:rsidRPr="00721AE3">
        <w:rPr>
          <w:rFonts w:ascii="Times New Roman" w:hAnsi="Times New Roman" w:cs="Times New Roman"/>
          <w:sz w:val="24"/>
          <w:szCs w:val="24"/>
        </w:rPr>
        <w:t>61</w:t>
      </w:r>
      <w:r w:rsidRPr="00721AE3">
        <w:rPr>
          <w:rFonts w:ascii="Times New Roman" w:hAnsi="Times New Roman" w:cs="Times New Roman"/>
          <w:sz w:val="24"/>
          <w:szCs w:val="24"/>
        </w:rPr>
        <w:t xml:space="preserve"> km before </w:t>
      </w:r>
      <w:r w:rsidR="00FC2423" w:rsidRPr="00721AE3">
        <w:rPr>
          <w:rFonts w:ascii="Times New Roman" w:hAnsi="Times New Roman" w:cs="Times New Roman"/>
          <w:sz w:val="24"/>
          <w:szCs w:val="24"/>
        </w:rPr>
        <w:t>gradually weakening</w:t>
      </w:r>
      <w:r w:rsidRPr="00721AE3">
        <w:rPr>
          <w:rFonts w:ascii="Times New Roman" w:hAnsi="Times New Roman" w:cs="Times New Roman"/>
          <w:sz w:val="24"/>
          <w:szCs w:val="24"/>
        </w:rPr>
        <w:t xml:space="preserve"> and becoming negative. Compared with greenspaces, these </w:t>
      </w:r>
      <w:r w:rsidR="00CE5162" w:rsidRPr="00721AE3">
        <w:rPr>
          <w:rFonts w:ascii="Times New Roman" w:hAnsi="Times New Roman" w:cs="Times New Roman"/>
          <w:sz w:val="24"/>
          <w:szCs w:val="24"/>
        </w:rPr>
        <w:t>facilities serve a broader neighborhood catchment because visits are typically planned rather than spontaneous</w:t>
      </w:r>
      <w:r w:rsidRPr="00721AE3">
        <w:rPr>
          <w:rFonts w:ascii="Times New Roman" w:hAnsi="Times New Roman" w:cs="Times New Roman"/>
          <w:sz w:val="24"/>
          <w:szCs w:val="24"/>
        </w:rPr>
        <w:t xml:space="preserve">. However, their influence remains more localized than that of scenic attractions, reflecting their role as regular activity-based amenities rather than regional destinations. </w:t>
      </w:r>
      <w:r w:rsidR="00382968" w:rsidRPr="00721AE3">
        <w:rPr>
          <w:rFonts w:ascii="Times New Roman" w:hAnsi="Times New Roman" w:cs="Times New Roman"/>
          <w:sz w:val="24"/>
          <w:szCs w:val="24"/>
        </w:rPr>
        <w:t xml:space="preserve">These findings suggest that the effective service catchment of recreational amenities </w:t>
      </w:r>
      <w:r w:rsidR="000D5EBC" w:rsidRPr="00721AE3">
        <w:rPr>
          <w:rFonts w:ascii="Times New Roman" w:hAnsi="Times New Roman" w:cs="Times New Roman"/>
          <w:sz w:val="24"/>
          <w:szCs w:val="24"/>
        </w:rPr>
        <w:t>may not</w:t>
      </w:r>
      <w:r w:rsidR="00382968" w:rsidRPr="00721AE3">
        <w:rPr>
          <w:rFonts w:ascii="Times New Roman" w:hAnsi="Times New Roman" w:cs="Times New Roman"/>
          <w:sz w:val="24"/>
          <w:szCs w:val="24"/>
        </w:rPr>
        <w:t xml:space="preserve"> </w:t>
      </w:r>
      <w:r w:rsidR="000D5EBC" w:rsidRPr="00721AE3">
        <w:rPr>
          <w:rFonts w:ascii="Times New Roman" w:hAnsi="Times New Roman" w:cs="Times New Roman"/>
          <w:sz w:val="24"/>
          <w:szCs w:val="24"/>
        </w:rPr>
        <w:t xml:space="preserve">be </w:t>
      </w:r>
      <w:r w:rsidR="00382968" w:rsidRPr="00721AE3">
        <w:rPr>
          <w:rFonts w:ascii="Times New Roman" w:hAnsi="Times New Roman" w:cs="Times New Roman"/>
          <w:sz w:val="24"/>
          <w:szCs w:val="24"/>
        </w:rPr>
        <w:t>shaped only by physical accessibility but also by differences in visitation frequency and travel behaviour</w:t>
      </w:r>
      <w:r w:rsidRPr="00721AE3">
        <w:rPr>
          <w:rFonts w:ascii="Times New Roman" w:hAnsi="Times New Roman" w:cs="Times New Roman"/>
          <w:sz w:val="24"/>
          <w:szCs w:val="24"/>
        </w:rPr>
        <w:t xml:space="preserve"> </w:t>
      </w:r>
      <w:r w:rsidR="00A663AF" w:rsidRPr="00721AE3">
        <w:rPr>
          <w:rFonts w:ascii="Times New Roman" w:hAnsi="Times New Roman" w:cs="Times New Roman"/>
          <w:sz w:val="24"/>
          <w:szCs w:val="24"/>
        </w:rPr>
        <w:t>(Feng &amp; Humphreys, 2012; Keeler et al., 2021; X. Liu et al., 2026).</w:t>
      </w:r>
    </w:p>
    <w:p w14:paraId="14541A52" w14:textId="77777777" w:rsidR="007632FF" w:rsidRPr="00721AE3" w:rsidRDefault="007632FF" w:rsidP="00636F68">
      <w:pPr>
        <w:spacing w:line="480" w:lineRule="auto"/>
        <w:jc w:val="both"/>
        <w:rPr>
          <w:rFonts w:ascii="Times New Roman" w:hAnsi="Times New Roman" w:cs="Times New Roman"/>
          <w:sz w:val="24"/>
          <w:szCs w:val="24"/>
        </w:rPr>
      </w:pPr>
    </w:p>
    <w:p w14:paraId="13FC0274" w14:textId="13775AC7" w:rsidR="003A5678" w:rsidRPr="00721AE3" w:rsidRDefault="006A49D8" w:rsidP="009D450E">
      <w:pPr>
        <w:pStyle w:val="af8"/>
        <w:spacing w:after="0" w:afterAutospacing="0" w:line="360" w:lineRule="auto"/>
      </w:pPr>
      <w:r w:rsidRPr="00721AE3">
        <w:rPr>
          <w:noProof/>
        </w:rPr>
        <w:lastRenderedPageBreak/>
        <w:drawing>
          <wp:inline distT="0" distB="0" distL="0" distR="0" wp14:anchorId="0CEDA5BD" wp14:editId="6EAC7BA5">
            <wp:extent cx="5943600" cy="1873250"/>
            <wp:effectExtent l="0" t="0" r="0" b="0"/>
            <wp:docPr id="1699262288" name="Picture 3" descr="A graph showing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62288" name="Picture 3" descr="A graph showing a red lin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873250"/>
                    </a:xfrm>
                    <a:prstGeom prst="rect">
                      <a:avLst/>
                    </a:prstGeom>
                    <a:noFill/>
                    <a:ln>
                      <a:noFill/>
                    </a:ln>
                  </pic:spPr>
                </pic:pic>
              </a:graphicData>
            </a:graphic>
          </wp:inline>
        </w:drawing>
      </w:r>
    </w:p>
    <w:p w14:paraId="677BCC5E" w14:textId="610BE506" w:rsidR="002E281E" w:rsidRPr="00721AE3" w:rsidRDefault="002E281E" w:rsidP="00CE2308">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Figure </w:t>
      </w:r>
      <w:r w:rsidR="00A67CE4" w:rsidRPr="00721AE3">
        <w:rPr>
          <w:rFonts w:ascii="Times New Roman" w:hAnsi="Times New Roman" w:cs="Times New Roman"/>
          <w:sz w:val="24"/>
          <w:szCs w:val="24"/>
        </w:rPr>
        <w:t>5</w:t>
      </w:r>
      <w:r w:rsidRPr="00721AE3">
        <w:rPr>
          <w:rFonts w:ascii="Times New Roman" w:hAnsi="Times New Roman" w:cs="Times New Roman"/>
          <w:sz w:val="24"/>
          <w:szCs w:val="24"/>
        </w:rPr>
        <w:t>. Distance decay effects of natural and recreational amenities</w:t>
      </w:r>
      <w:r w:rsidRPr="00721AE3">
        <w:rPr>
          <w:rFonts w:ascii="Times New Roman" w:hAnsi="Times New Roman" w:cs="Times New Roman"/>
          <w:i/>
          <w:iCs/>
          <w:sz w:val="24"/>
          <w:szCs w:val="24"/>
        </w:rPr>
        <w:t xml:space="preserve"> </w:t>
      </w:r>
      <w:r w:rsidRPr="00721AE3">
        <w:rPr>
          <w:rFonts w:ascii="Times New Roman" w:hAnsi="Times New Roman" w:cs="Times New Roman"/>
          <w:sz w:val="24"/>
          <w:szCs w:val="24"/>
        </w:rPr>
        <w:t>on housing prices</w:t>
      </w:r>
    </w:p>
    <w:p w14:paraId="71420AFA" w14:textId="62779C9B" w:rsidR="00D24FF2" w:rsidRPr="00721AE3" w:rsidRDefault="00D24FF2" w:rsidP="00CE2308">
      <w:pPr>
        <w:pStyle w:val="a9"/>
        <w:numPr>
          <w:ilvl w:val="2"/>
          <w:numId w:val="1"/>
        </w:numPr>
        <w:spacing w:line="360" w:lineRule="auto"/>
        <w:ind w:left="709"/>
        <w:jc w:val="both"/>
        <w:rPr>
          <w:rFonts w:ascii="Times New Roman" w:hAnsi="Times New Roman" w:cs="Times New Roman"/>
          <w:b/>
          <w:bCs/>
          <w:i/>
          <w:iCs/>
          <w:sz w:val="24"/>
          <w:szCs w:val="24"/>
        </w:rPr>
      </w:pPr>
      <w:r w:rsidRPr="00721AE3">
        <w:rPr>
          <w:rFonts w:ascii="Times New Roman" w:hAnsi="Times New Roman" w:cs="Times New Roman"/>
          <w:b/>
          <w:bCs/>
          <w:i/>
          <w:iCs/>
          <w:sz w:val="24"/>
          <w:szCs w:val="24"/>
        </w:rPr>
        <w:t>Distance to healthcare services</w:t>
      </w:r>
    </w:p>
    <w:p w14:paraId="17A28FD3" w14:textId="1E6C51C6" w:rsidR="008D5AF5" w:rsidRPr="00721AE3" w:rsidRDefault="00C36B14" w:rsidP="00636F68">
      <w:pPr>
        <w:spacing w:line="480" w:lineRule="auto"/>
        <w:jc w:val="both"/>
        <w:rPr>
          <w:rFonts w:ascii="Times New Roman" w:hAnsi="Times New Roman" w:cs="Times New Roman"/>
          <w:sz w:val="24"/>
          <w:szCs w:val="24"/>
        </w:rPr>
      </w:pPr>
      <w:r w:rsidRPr="00721AE3">
        <w:rPr>
          <w:rFonts w:ascii="Times New Roman" w:hAnsi="Times New Roman" w:cs="Times New Roman"/>
          <w:noProof/>
          <w:sz w:val="24"/>
          <w:szCs w:val="24"/>
        </w:rPr>
        <w:drawing>
          <wp:anchor distT="0" distB="0" distL="114300" distR="114300" simplePos="0" relativeHeight="251660288" behindDoc="1" locked="0" layoutInCell="1" allowOverlap="1" wp14:anchorId="0F01CBC0" wp14:editId="589F7C54">
            <wp:simplePos x="0" y="0"/>
            <wp:positionH relativeFrom="margin">
              <wp:align>left</wp:align>
            </wp:positionH>
            <wp:positionV relativeFrom="paragraph">
              <wp:posOffset>1805153</wp:posOffset>
            </wp:positionV>
            <wp:extent cx="5405933" cy="2346615"/>
            <wp:effectExtent l="0" t="0" r="4445" b="0"/>
            <wp:wrapNone/>
            <wp:docPr id="192810834" name="Picture 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10834" name="Picture 4" descr="A graph of a graph&#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5933" cy="2346615"/>
                    </a:xfrm>
                    <a:prstGeom prst="rect">
                      <a:avLst/>
                    </a:prstGeom>
                    <a:noFill/>
                    <a:ln>
                      <a:noFill/>
                    </a:ln>
                  </pic:spPr>
                </pic:pic>
              </a:graphicData>
            </a:graphic>
          </wp:anchor>
        </w:drawing>
      </w:r>
      <w:r w:rsidR="00577194" w:rsidRPr="00721AE3">
        <w:rPr>
          <w:rFonts w:ascii="Times New Roman" w:hAnsi="Times New Roman" w:cs="Times New Roman"/>
          <w:sz w:val="24"/>
          <w:szCs w:val="24"/>
        </w:rPr>
        <w:t xml:space="preserve">As shown in Figure 6, healthcare accessibility exhibits </w:t>
      </w:r>
      <w:r w:rsidR="00222883" w:rsidRPr="00721AE3">
        <w:rPr>
          <w:rFonts w:ascii="Times New Roman" w:hAnsi="Times New Roman" w:cs="Times New Roman"/>
          <w:sz w:val="24"/>
          <w:szCs w:val="24"/>
        </w:rPr>
        <w:t>pronounced non-linear and amenity-specific</w:t>
      </w:r>
      <w:r w:rsidR="00577194" w:rsidRPr="00721AE3">
        <w:rPr>
          <w:rFonts w:ascii="Times New Roman" w:hAnsi="Times New Roman" w:cs="Times New Roman"/>
          <w:sz w:val="24"/>
          <w:szCs w:val="24"/>
        </w:rPr>
        <w:t xml:space="preserve"> effects on housing prices</w:t>
      </w:r>
      <w:r w:rsidR="00706119" w:rsidRPr="00721AE3">
        <w:rPr>
          <w:rFonts w:ascii="Times New Roman" w:hAnsi="Times New Roman" w:cs="Times New Roman"/>
          <w:sz w:val="24"/>
          <w:szCs w:val="24"/>
        </w:rPr>
        <w:t>. Both hospitals and clinics generate positive capitalization effects within their respective service catchments, followed by a transition to negative effects beyond distinct network-distance thresholds. These findings suggest that housing values are influenced by optimal accessibility to healthcare services rather than simple proximity.</w:t>
      </w:r>
    </w:p>
    <w:p w14:paraId="2E1D0166" w14:textId="10EE3B79" w:rsidR="004568E4" w:rsidRPr="00721AE3" w:rsidRDefault="004568E4" w:rsidP="00636F68">
      <w:pPr>
        <w:spacing w:line="480" w:lineRule="auto"/>
        <w:jc w:val="both"/>
        <w:rPr>
          <w:rFonts w:ascii="Times New Roman" w:hAnsi="Times New Roman" w:cs="Times New Roman"/>
          <w:sz w:val="24"/>
          <w:szCs w:val="24"/>
        </w:rPr>
      </w:pPr>
    </w:p>
    <w:p w14:paraId="3DA7BB90" w14:textId="005B1594" w:rsidR="004568E4" w:rsidRPr="00721AE3" w:rsidRDefault="004568E4" w:rsidP="00636F68">
      <w:pPr>
        <w:spacing w:line="480" w:lineRule="auto"/>
        <w:jc w:val="both"/>
        <w:rPr>
          <w:rFonts w:ascii="Times New Roman" w:hAnsi="Times New Roman" w:cs="Times New Roman"/>
          <w:sz w:val="24"/>
          <w:szCs w:val="24"/>
        </w:rPr>
      </w:pPr>
    </w:p>
    <w:p w14:paraId="24E53FC4" w14:textId="65034937" w:rsidR="00556E8B" w:rsidRPr="00721AE3" w:rsidRDefault="00556E8B" w:rsidP="009D450E">
      <w:pPr>
        <w:spacing w:line="480" w:lineRule="auto"/>
        <w:jc w:val="both"/>
        <w:rPr>
          <w:rFonts w:ascii="Times New Roman" w:hAnsi="Times New Roman" w:cs="Times New Roman"/>
          <w:sz w:val="24"/>
          <w:szCs w:val="24"/>
        </w:rPr>
      </w:pPr>
    </w:p>
    <w:p w14:paraId="3B18E2FB" w14:textId="77777777" w:rsidR="004568E4" w:rsidRPr="00721AE3" w:rsidRDefault="004568E4" w:rsidP="00CE2308">
      <w:pPr>
        <w:spacing w:line="360" w:lineRule="auto"/>
        <w:jc w:val="both"/>
        <w:rPr>
          <w:rFonts w:ascii="Times New Roman" w:hAnsi="Times New Roman" w:cs="Times New Roman"/>
          <w:sz w:val="24"/>
          <w:szCs w:val="24"/>
        </w:rPr>
      </w:pPr>
    </w:p>
    <w:p w14:paraId="109B10E0" w14:textId="77777777" w:rsidR="004568E4" w:rsidRPr="00721AE3" w:rsidRDefault="004568E4" w:rsidP="00CE2308">
      <w:pPr>
        <w:spacing w:line="360" w:lineRule="auto"/>
        <w:jc w:val="both"/>
        <w:rPr>
          <w:rFonts w:ascii="Times New Roman" w:hAnsi="Times New Roman" w:cs="Times New Roman"/>
          <w:sz w:val="24"/>
          <w:szCs w:val="24"/>
        </w:rPr>
      </w:pPr>
    </w:p>
    <w:p w14:paraId="6C0FF5D9" w14:textId="77777777" w:rsidR="00C36B14" w:rsidRPr="00721AE3" w:rsidRDefault="00C36B14" w:rsidP="00C36B14">
      <w:pPr>
        <w:spacing w:after="0" w:line="360" w:lineRule="auto"/>
        <w:jc w:val="both"/>
        <w:rPr>
          <w:rFonts w:ascii="Times New Roman" w:hAnsi="Times New Roman" w:cs="Times New Roman"/>
          <w:sz w:val="10"/>
          <w:szCs w:val="10"/>
        </w:rPr>
      </w:pPr>
    </w:p>
    <w:p w14:paraId="0D48F4F4" w14:textId="35AA9481" w:rsidR="001C647E" w:rsidRPr="00721AE3" w:rsidRDefault="001C647E" w:rsidP="00CE2308">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Figure </w:t>
      </w:r>
      <w:r w:rsidR="00A67CE4" w:rsidRPr="00721AE3">
        <w:rPr>
          <w:rFonts w:ascii="Times New Roman" w:hAnsi="Times New Roman" w:cs="Times New Roman"/>
          <w:sz w:val="24"/>
          <w:szCs w:val="24"/>
        </w:rPr>
        <w:t>6</w:t>
      </w:r>
      <w:r w:rsidRPr="00721AE3">
        <w:rPr>
          <w:rFonts w:ascii="Times New Roman" w:hAnsi="Times New Roman" w:cs="Times New Roman"/>
          <w:sz w:val="24"/>
          <w:szCs w:val="24"/>
        </w:rPr>
        <w:t>. Distance decay effects of healthcare services on housing prices</w:t>
      </w:r>
    </w:p>
    <w:p w14:paraId="3806FFB4" w14:textId="4C9CB4EB" w:rsidR="005D770B" w:rsidRPr="00721AE3" w:rsidRDefault="00124AEA" w:rsidP="0073517F">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Hospitals (</w:t>
      </w:r>
      <w:r w:rsidR="007B14D9" w:rsidRPr="00721AE3">
        <w:rPr>
          <w:rFonts w:ascii="Times New Roman" w:hAnsi="Times New Roman" w:cs="Times New Roman"/>
          <w:sz w:val="24"/>
          <w:szCs w:val="24"/>
        </w:rPr>
        <w:t>P</w:t>
      </w:r>
      <w:r w:rsidRPr="00721AE3">
        <w:rPr>
          <w:rFonts w:ascii="Times New Roman" w:hAnsi="Times New Roman" w:cs="Times New Roman"/>
          <w:sz w:val="24"/>
          <w:szCs w:val="24"/>
        </w:rPr>
        <w:t>anel a) exhibit the</w:t>
      </w:r>
      <w:r w:rsidR="004745AB" w:rsidRPr="00721AE3">
        <w:rPr>
          <w:rFonts w:ascii="Times New Roman" w:hAnsi="Times New Roman" w:cs="Times New Roman"/>
          <w:sz w:val="24"/>
          <w:szCs w:val="24"/>
        </w:rPr>
        <w:t xml:space="preserve"> strong</w:t>
      </w:r>
      <w:r w:rsidR="007B14D9" w:rsidRPr="00721AE3">
        <w:rPr>
          <w:rFonts w:ascii="Times New Roman" w:hAnsi="Times New Roman" w:cs="Times New Roman"/>
          <w:sz w:val="24"/>
          <w:szCs w:val="24"/>
        </w:rPr>
        <w:t>est</w:t>
      </w:r>
      <w:r w:rsidR="004745AB" w:rsidRPr="00721AE3">
        <w:rPr>
          <w:rFonts w:ascii="Times New Roman" w:hAnsi="Times New Roman" w:cs="Times New Roman"/>
          <w:sz w:val="24"/>
          <w:szCs w:val="24"/>
        </w:rPr>
        <w:t xml:space="preserve"> </w:t>
      </w:r>
      <w:r w:rsidR="00C07E11" w:rsidRPr="00721AE3">
        <w:rPr>
          <w:rFonts w:ascii="Times New Roman" w:hAnsi="Times New Roman" w:cs="Times New Roman"/>
          <w:sz w:val="24"/>
          <w:szCs w:val="24"/>
        </w:rPr>
        <w:t xml:space="preserve">and </w:t>
      </w:r>
      <w:r w:rsidR="00D05CFA" w:rsidRPr="00721AE3">
        <w:rPr>
          <w:rFonts w:ascii="Times New Roman" w:hAnsi="Times New Roman" w:cs="Times New Roman"/>
          <w:sz w:val="24"/>
          <w:szCs w:val="24"/>
        </w:rPr>
        <w:t>broades</w:t>
      </w:r>
      <w:r w:rsidR="00636871" w:rsidRPr="00721AE3">
        <w:rPr>
          <w:rFonts w:ascii="Times New Roman" w:hAnsi="Times New Roman" w:cs="Times New Roman"/>
          <w:sz w:val="24"/>
          <w:szCs w:val="24"/>
        </w:rPr>
        <w:t>t</w:t>
      </w:r>
      <w:r w:rsidR="00202016" w:rsidRPr="00721AE3">
        <w:rPr>
          <w:rFonts w:ascii="Times New Roman" w:hAnsi="Times New Roman" w:cs="Times New Roman"/>
          <w:sz w:val="24"/>
          <w:szCs w:val="24"/>
        </w:rPr>
        <w:t xml:space="preserve"> capitalization effect</w:t>
      </w:r>
      <w:r w:rsidRPr="00721AE3">
        <w:rPr>
          <w:rFonts w:ascii="Times New Roman" w:hAnsi="Times New Roman" w:cs="Times New Roman"/>
          <w:sz w:val="24"/>
          <w:szCs w:val="24"/>
        </w:rPr>
        <w:t xml:space="preserve">. The ALE curve </w:t>
      </w:r>
      <w:r w:rsidR="00732BBA" w:rsidRPr="00721AE3">
        <w:rPr>
          <w:rFonts w:ascii="Times New Roman" w:hAnsi="Times New Roman" w:cs="Times New Roman"/>
          <w:sz w:val="24"/>
          <w:szCs w:val="24"/>
        </w:rPr>
        <w:t>remains consistently positive over a relatively wide range of walking distances, with values of</w:t>
      </w:r>
      <w:r w:rsidR="00AA5FD0"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approximately </w:t>
      </w:r>
      <w:r w:rsidR="00732BBA" w:rsidRPr="00721AE3">
        <w:rPr>
          <w:rFonts w:ascii="Times New Roman" w:hAnsi="Times New Roman" w:cs="Times New Roman"/>
          <w:sz w:val="24"/>
          <w:szCs w:val="24"/>
        </w:rPr>
        <w:t xml:space="preserve">+0.10 to </w:t>
      </w:r>
      <w:r w:rsidR="008D568B" w:rsidRPr="00721AE3">
        <w:rPr>
          <w:rFonts w:ascii="Times New Roman" w:hAnsi="Times New Roman" w:cs="Times New Roman"/>
          <w:sz w:val="24"/>
          <w:szCs w:val="24"/>
        </w:rPr>
        <w:t>+0.13 between 1.0</w:t>
      </w:r>
      <w:r w:rsidR="000F1EB3" w:rsidRPr="00721AE3">
        <w:rPr>
          <w:rFonts w:ascii="Times New Roman" w:hAnsi="Times New Roman" w:cs="Times New Roman"/>
          <w:sz w:val="24"/>
          <w:szCs w:val="24"/>
        </w:rPr>
        <w:t>2</w:t>
      </w:r>
      <w:r w:rsidR="008D568B" w:rsidRPr="00721AE3">
        <w:rPr>
          <w:rFonts w:ascii="Times New Roman" w:hAnsi="Times New Roman" w:cs="Times New Roman"/>
          <w:sz w:val="24"/>
          <w:szCs w:val="24"/>
        </w:rPr>
        <w:t xml:space="preserve"> and 1.</w:t>
      </w:r>
      <w:r w:rsidR="000F1EB3" w:rsidRPr="00721AE3">
        <w:rPr>
          <w:rFonts w:ascii="Times New Roman" w:hAnsi="Times New Roman" w:cs="Times New Roman"/>
          <w:sz w:val="24"/>
          <w:szCs w:val="24"/>
        </w:rPr>
        <w:t>35</w:t>
      </w:r>
      <w:r w:rsidR="008D568B" w:rsidRPr="00721AE3">
        <w:rPr>
          <w:rFonts w:ascii="Times New Roman" w:hAnsi="Times New Roman" w:cs="Times New Roman"/>
          <w:sz w:val="24"/>
          <w:szCs w:val="24"/>
        </w:rPr>
        <w:t xml:space="preserve"> km, </w:t>
      </w:r>
      <w:r w:rsidR="002148D9" w:rsidRPr="00721AE3">
        <w:rPr>
          <w:rFonts w:ascii="Times New Roman" w:hAnsi="Times New Roman" w:cs="Times New Roman"/>
          <w:sz w:val="24"/>
          <w:szCs w:val="24"/>
        </w:rPr>
        <w:t>before declining sharply</w:t>
      </w:r>
      <w:r w:rsidR="008D568B" w:rsidRPr="00721AE3">
        <w:rPr>
          <w:rFonts w:ascii="Times New Roman" w:hAnsi="Times New Roman" w:cs="Times New Roman"/>
          <w:sz w:val="24"/>
          <w:szCs w:val="24"/>
        </w:rPr>
        <w:t xml:space="preserve">. The </w:t>
      </w:r>
      <w:r w:rsidR="008D568B" w:rsidRPr="00721AE3">
        <w:rPr>
          <w:rFonts w:ascii="Times New Roman" w:hAnsi="Times New Roman" w:cs="Times New Roman"/>
          <w:sz w:val="24"/>
          <w:szCs w:val="24"/>
        </w:rPr>
        <w:lastRenderedPageBreak/>
        <w:t xml:space="preserve">contribution </w:t>
      </w:r>
      <w:r w:rsidR="00AA5FD0" w:rsidRPr="00721AE3">
        <w:rPr>
          <w:rFonts w:ascii="Times New Roman" w:hAnsi="Times New Roman" w:cs="Times New Roman"/>
          <w:sz w:val="24"/>
          <w:szCs w:val="24"/>
        </w:rPr>
        <w:t>c</w:t>
      </w:r>
      <w:r w:rsidR="00815C22" w:rsidRPr="00721AE3">
        <w:rPr>
          <w:rFonts w:ascii="Times New Roman" w:hAnsi="Times New Roman" w:cs="Times New Roman"/>
          <w:sz w:val="24"/>
          <w:szCs w:val="24"/>
        </w:rPr>
        <w:t>r</w:t>
      </w:r>
      <w:r w:rsidR="008D568B" w:rsidRPr="00721AE3">
        <w:rPr>
          <w:rFonts w:ascii="Times New Roman" w:hAnsi="Times New Roman" w:cs="Times New Roman"/>
          <w:sz w:val="24"/>
          <w:szCs w:val="24"/>
        </w:rPr>
        <w:t>osses zero at approximately 1.</w:t>
      </w:r>
      <w:r w:rsidR="002148D9" w:rsidRPr="00721AE3">
        <w:rPr>
          <w:rFonts w:ascii="Times New Roman" w:hAnsi="Times New Roman" w:cs="Times New Roman"/>
          <w:sz w:val="24"/>
          <w:szCs w:val="24"/>
        </w:rPr>
        <w:t>64</w:t>
      </w:r>
      <w:r w:rsidR="008D568B" w:rsidRPr="00721AE3">
        <w:rPr>
          <w:rFonts w:ascii="Times New Roman" w:hAnsi="Times New Roman" w:cs="Times New Roman"/>
          <w:sz w:val="24"/>
          <w:szCs w:val="24"/>
        </w:rPr>
        <w:t xml:space="preserve"> km and becomes increasingly negative thereafter. </w:t>
      </w:r>
      <w:r w:rsidR="00D620A5" w:rsidRPr="00721AE3">
        <w:rPr>
          <w:rFonts w:ascii="Times New Roman" w:hAnsi="Times New Roman" w:cs="Times New Roman"/>
          <w:sz w:val="24"/>
          <w:szCs w:val="24"/>
        </w:rPr>
        <w:t xml:space="preserve">This pattern suggests that households value convenient access to higher-order healthcare services, while avoiding the immediate vicinity of large hospitals, where ambulance traffic, noise, visitor activity, and other hospital-related externalities may reduce residential desirability. Beyond the optimal accessibility range, the benefits of hospital access diminish as travel costs increase, leading to progressively lower capitalization effects. </w:t>
      </w:r>
      <w:r w:rsidR="00734BFD" w:rsidRPr="00721AE3">
        <w:rPr>
          <w:rFonts w:ascii="Times New Roman" w:hAnsi="Times New Roman" w:cs="Times New Roman"/>
          <w:sz w:val="24"/>
          <w:szCs w:val="24"/>
        </w:rPr>
        <w:t>Similar non-linear relationships have been reported for large healthcare facilities in urban housing markets</w:t>
      </w:r>
      <w:r w:rsidR="005D770B" w:rsidRPr="00721AE3">
        <w:rPr>
          <w:rFonts w:ascii="Times New Roman" w:hAnsi="Times New Roman" w:cs="Times New Roman"/>
          <w:sz w:val="24"/>
          <w:szCs w:val="24"/>
        </w:rPr>
        <w:t xml:space="preserve"> </w:t>
      </w:r>
      <w:r w:rsidRPr="00721AE3">
        <w:rPr>
          <w:rFonts w:ascii="Times New Roman" w:hAnsi="Times New Roman" w:cs="Times New Roman"/>
          <w:sz w:val="24"/>
          <w:szCs w:val="24"/>
        </w:rPr>
        <w:t>(Peng &amp; Chiang, 2015; Gu et al., 2024; Lee et al., 2025).</w:t>
      </w:r>
    </w:p>
    <w:p w14:paraId="280424AE" w14:textId="3C1252FF" w:rsidR="00C92C78" w:rsidRPr="00721AE3" w:rsidRDefault="004931BD" w:rsidP="00957DBC">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Clinics (</w:t>
      </w:r>
      <w:r w:rsidR="00C1193E" w:rsidRPr="00721AE3">
        <w:rPr>
          <w:rFonts w:ascii="Times New Roman" w:hAnsi="Times New Roman" w:cs="Times New Roman"/>
          <w:sz w:val="24"/>
          <w:szCs w:val="24"/>
        </w:rPr>
        <w:t>P</w:t>
      </w:r>
      <w:r w:rsidRPr="00721AE3">
        <w:rPr>
          <w:rFonts w:ascii="Times New Roman" w:hAnsi="Times New Roman" w:cs="Times New Roman"/>
          <w:sz w:val="24"/>
          <w:szCs w:val="24"/>
        </w:rPr>
        <w:t xml:space="preserve">anel b) exhibit a </w:t>
      </w:r>
      <w:r w:rsidR="0062674F" w:rsidRPr="00721AE3">
        <w:rPr>
          <w:rFonts w:ascii="Times New Roman" w:hAnsi="Times New Roman" w:cs="Times New Roman"/>
          <w:sz w:val="24"/>
          <w:szCs w:val="24"/>
        </w:rPr>
        <w:t>more localized and complex capitalization pattern. Following modest fluctuations at very short distances, the ALE curve rises to a peak of approximately +0.06 around 0.78–0.80 km, and then declines rapidly, becoming negative beyond 1.04 km</w:t>
      </w:r>
      <w:r w:rsidR="00C92C78" w:rsidRPr="00721AE3">
        <w:rPr>
          <w:rFonts w:ascii="Times New Roman" w:hAnsi="Times New Roman" w:cs="Times New Roman"/>
          <w:sz w:val="24"/>
          <w:szCs w:val="24"/>
        </w:rPr>
        <w:t>.</w:t>
      </w:r>
      <w:r w:rsidR="00407256" w:rsidRPr="00721AE3">
        <w:rPr>
          <w:rFonts w:ascii="Times New Roman" w:hAnsi="Times New Roman" w:cs="Times New Roman"/>
          <w:sz w:val="24"/>
          <w:szCs w:val="24"/>
        </w:rPr>
        <w:t xml:space="preserve"> Compared with hospitals, </w:t>
      </w:r>
      <w:r w:rsidR="00A568F4" w:rsidRPr="00721AE3">
        <w:rPr>
          <w:rFonts w:ascii="Times New Roman" w:hAnsi="Times New Roman" w:cs="Times New Roman"/>
          <w:sz w:val="24"/>
          <w:szCs w:val="24"/>
        </w:rPr>
        <w:t xml:space="preserve">primary healthcare services have a smaller magnitude and a narrower service catchment, reflecting their routine nature and </w:t>
      </w:r>
      <w:r w:rsidR="00D911DE" w:rsidRPr="00721AE3">
        <w:rPr>
          <w:rFonts w:ascii="Times New Roman" w:hAnsi="Times New Roman" w:cs="Times New Roman"/>
          <w:sz w:val="24"/>
          <w:szCs w:val="24"/>
        </w:rPr>
        <w:t>widespread</w:t>
      </w:r>
      <w:r w:rsidR="00407256" w:rsidRPr="00721AE3">
        <w:rPr>
          <w:rFonts w:ascii="Times New Roman" w:hAnsi="Times New Roman" w:cs="Times New Roman"/>
          <w:sz w:val="24"/>
          <w:szCs w:val="24"/>
        </w:rPr>
        <w:t xml:space="preserve"> spatial distribution throughout Hong Kong. </w:t>
      </w:r>
      <w:r w:rsidR="001D6FCB" w:rsidRPr="00721AE3">
        <w:rPr>
          <w:rFonts w:ascii="Times New Roman" w:hAnsi="Times New Roman" w:cs="Times New Roman"/>
          <w:sz w:val="24"/>
          <w:szCs w:val="24"/>
        </w:rPr>
        <w:t>Because clinics are widely distributed, accessibility to them is less differentiated across locations and therefore contributes less to housing price variation.</w:t>
      </w:r>
      <w:r w:rsidR="00407256" w:rsidRPr="00721AE3">
        <w:rPr>
          <w:rFonts w:ascii="Times New Roman" w:hAnsi="Times New Roman" w:cs="Times New Roman"/>
          <w:sz w:val="24"/>
          <w:szCs w:val="24"/>
        </w:rPr>
        <w:t xml:space="preserve"> These findings are consistent with previous studies showing that accessibility to primary healthcare services generates relatively modest </w:t>
      </w:r>
      <w:r w:rsidR="00CC39B1" w:rsidRPr="00721AE3">
        <w:rPr>
          <w:rFonts w:ascii="Times New Roman" w:hAnsi="Times New Roman" w:cs="Times New Roman"/>
          <w:sz w:val="24"/>
          <w:szCs w:val="24"/>
        </w:rPr>
        <w:t>but highly localized housing price premiums in compact urban environments</w:t>
      </w:r>
      <w:r w:rsidR="00C16D95" w:rsidRPr="00721AE3">
        <w:rPr>
          <w:rFonts w:ascii="Times New Roman" w:hAnsi="Times New Roman" w:cs="Times New Roman"/>
          <w:sz w:val="24"/>
          <w:szCs w:val="24"/>
        </w:rPr>
        <w:t xml:space="preserve"> (Peng, 2021).</w:t>
      </w:r>
    </w:p>
    <w:p w14:paraId="50701267" w14:textId="11CD3321" w:rsidR="005C3147" w:rsidRPr="00721AE3" w:rsidRDefault="0039114B" w:rsidP="00815C22">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Overall, the healthcare results suggest that housing price premiums are shaped not only by accessibility but also by the functional hierarchy of medical services</w:t>
      </w:r>
      <w:r w:rsidR="00604677" w:rsidRPr="00721AE3">
        <w:rPr>
          <w:rFonts w:ascii="Times New Roman" w:hAnsi="Times New Roman" w:cs="Times New Roman"/>
          <w:sz w:val="24"/>
          <w:szCs w:val="24"/>
        </w:rPr>
        <w:t xml:space="preserve">. Higher-order facilities exert </w:t>
      </w:r>
      <w:r w:rsidR="00061721" w:rsidRPr="00721AE3">
        <w:rPr>
          <w:rFonts w:ascii="Times New Roman" w:hAnsi="Times New Roman" w:cs="Times New Roman"/>
          <w:sz w:val="24"/>
          <w:szCs w:val="24"/>
        </w:rPr>
        <w:t xml:space="preserve">broader and more pronounced capitalization effects </w:t>
      </w:r>
      <w:r w:rsidR="00604677" w:rsidRPr="00721AE3">
        <w:rPr>
          <w:rFonts w:ascii="Times New Roman" w:hAnsi="Times New Roman" w:cs="Times New Roman"/>
          <w:sz w:val="24"/>
          <w:szCs w:val="24"/>
        </w:rPr>
        <w:t>because they provide specialized services with limited substitutes, whereas the widespread availability of primary care substantially reduces the marginal value of clinic proximity.</w:t>
      </w:r>
    </w:p>
    <w:p w14:paraId="3735C46F" w14:textId="75B8F15F" w:rsidR="00D24FF2" w:rsidRPr="00721AE3" w:rsidRDefault="00DE3DAF" w:rsidP="005670AA">
      <w:pPr>
        <w:pStyle w:val="a9"/>
        <w:numPr>
          <w:ilvl w:val="2"/>
          <w:numId w:val="1"/>
        </w:numPr>
        <w:spacing w:line="480" w:lineRule="auto"/>
        <w:ind w:left="709"/>
        <w:jc w:val="both"/>
        <w:rPr>
          <w:rFonts w:ascii="Times New Roman" w:hAnsi="Times New Roman" w:cs="Times New Roman"/>
          <w:b/>
          <w:bCs/>
          <w:i/>
          <w:iCs/>
          <w:sz w:val="24"/>
          <w:szCs w:val="24"/>
        </w:rPr>
      </w:pPr>
      <w:r w:rsidRPr="00721AE3">
        <w:rPr>
          <w:rFonts w:ascii="Times New Roman" w:hAnsi="Times New Roman" w:cs="Times New Roman"/>
          <w:b/>
          <w:bCs/>
          <w:i/>
          <w:iCs/>
          <w:sz w:val="24"/>
          <w:szCs w:val="24"/>
        </w:rPr>
        <w:lastRenderedPageBreak/>
        <w:t xml:space="preserve">Distance to educational </w:t>
      </w:r>
      <w:r w:rsidR="00D24FF2" w:rsidRPr="00721AE3">
        <w:rPr>
          <w:rFonts w:ascii="Times New Roman" w:hAnsi="Times New Roman" w:cs="Times New Roman"/>
          <w:b/>
          <w:bCs/>
          <w:i/>
          <w:iCs/>
          <w:sz w:val="24"/>
          <w:szCs w:val="24"/>
        </w:rPr>
        <w:t>facilities</w:t>
      </w:r>
    </w:p>
    <w:p w14:paraId="26538564" w14:textId="6B996661" w:rsidR="001F496D" w:rsidRPr="00721AE3" w:rsidRDefault="00AA4CC6"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Educational facilities </w:t>
      </w:r>
      <w:r w:rsidR="006451B9" w:rsidRPr="00721AE3">
        <w:rPr>
          <w:rFonts w:ascii="Times New Roman" w:hAnsi="Times New Roman" w:cs="Times New Roman"/>
          <w:sz w:val="24"/>
          <w:szCs w:val="24"/>
        </w:rPr>
        <w:t>exhibit</w:t>
      </w:r>
      <w:r w:rsidRPr="00721AE3">
        <w:rPr>
          <w:rFonts w:ascii="Times New Roman" w:hAnsi="Times New Roman" w:cs="Times New Roman"/>
          <w:sz w:val="24"/>
          <w:szCs w:val="24"/>
        </w:rPr>
        <w:t xml:space="preserve"> distinct non-linear</w:t>
      </w:r>
      <w:r w:rsidR="00F4771C" w:rsidRPr="00721AE3">
        <w:rPr>
          <w:rFonts w:ascii="Times New Roman" w:hAnsi="Times New Roman" w:cs="Times New Roman"/>
          <w:sz w:val="24"/>
          <w:szCs w:val="24"/>
        </w:rPr>
        <w:t>,</w:t>
      </w:r>
      <w:r w:rsidRPr="00721AE3">
        <w:rPr>
          <w:rFonts w:ascii="Times New Roman" w:hAnsi="Times New Roman" w:cs="Times New Roman"/>
          <w:sz w:val="24"/>
          <w:szCs w:val="24"/>
        </w:rPr>
        <w:t xml:space="preserve"> stage-specific distance</w:t>
      </w:r>
      <w:r w:rsidR="00A17725" w:rsidRPr="00721AE3">
        <w:rPr>
          <w:rFonts w:ascii="Times New Roman" w:hAnsi="Times New Roman" w:cs="Times New Roman"/>
          <w:sz w:val="24"/>
          <w:szCs w:val="24"/>
        </w:rPr>
        <w:t xml:space="preserve"> </w:t>
      </w:r>
      <w:r w:rsidRPr="00721AE3">
        <w:rPr>
          <w:rFonts w:ascii="Times New Roman" w:hAnsi="Times New Roman" w:cs="Times New Roman"/>
          <w:sz w:val="24"/>
          <w:szCs w:val="24"/>
        </w:rPr>
        <w:t xml:space="preserve">decay effects on housing prices, </w:t>
      </w:r>
      <w:r w:rsidR="005308DC" w:rsidRPr="00721AE3">
        <w:rPr>
          <w:rFonts w:ascii="Times New Roman" w:hAnsi="Times New Roman" w:cs="Times New Roman"/>
          <w:sz w:val="24"/>
          <w:szCs w:val="24"/>
        </w:rPr>
        <w:t>with substantial differences in both the magnitude and spatial extent of capitalization across education levels</w:t>
      </w:r>
      <w:r w:rsidRPr="00721AE3">
        <w:rPr>
          <w:rFonts w:ascii="Times New Roman" w:hAnsi="Times New Roman" w:cs="Times New Roman"/>
          <w:sz w:val="24"/>
          <w:szCs w:val="24"/>
        </w:rPr>
        <w:t xml:space="preserve">. As illustrated in Figure 7, </w:t>
      </w:r>
      <w:r w:rsidR="00567164" w:rsidRPr="00721AE3">
        <w:rPr>
          <w:rFonts w:ascii="Times New Roman" w:hAnsi="Times New Roman" w:cs="Times New Roman"/>
          <w:sz w:val="24"/>
          <w:szCs w:val="24"/>
        </w:rPr>
        <w:t xml:space="preserve">the effects vary considerably </w:t>
      </w:r>
      <w:r w:rsidR="009324EB" w:rsidRPr="00721AE3">
        <w:rPr>
          <w:rFonts w:ascii="Times New Roman" w:hAnsi="Times New Roman" w:cs="Times New Roman"/>
          <w:sz w:val="24"/>
          <w:szCs w:val="24"/>
        </w:rPr>
        <w:t xml:space="preserve">across primary schools, secondary schools, and universities, indicating that the </w:t>
      </w:r>
      <w:r w:rsidR="00344616" w:rsidRPr="00721AE3">
        <w:rPr>
          <w:rFonts w:ascii="Times New Roman" w:hAnsi="Times New Roman" w:cs="Times New Roman"/>
          <w:sz w:val="24"/>
          <w:szCs w:val="24"/>
        </w:rPr>
        <w:t>capitalization</w:t>
      </w:r>
      <w:r w:rsidR="009324EB" w:rsidRPr="00721AE3">
        <w:rPr>
          <w:rFonts w:ascii="Times New Roman" w:hAnsi="Times New Roman" w:cs="Times New Roman"/>
          <w:sz w:val="24"/>
          <w:szCs w:val="24"/>
        </w:rPr>
        <w:t xml:space="preserve"> of educational accessibility depends not only on proximity but also on each institution's functional role and service catchment</w:t>
      </w:r>
      <w:r w:rsidR="002B066A" w:rsidRPr="00721AE3">
        <w:rPr>
          <w:rFonts w:ascii="Times New Roman" w:hAnsi="Times New Roman" w:cs="Times New Roman"/>
          <w:sz w:val="24"/>
          <w:szCs w:val="24"/>
        </w:rPr>
        <w:t>.</w:t>
      </w:r>
    </w:p>
    <w:p w14:paraId="58100222" w14:textId="2E1B0EC7" w:rsidR="004A29AF" w:rsidRPr="00721AE3" w:rsidRDefault="00FD1E2F" w:rsidP="00FD1E2F">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Primary schools (Panel a) exhibit a highly non-linear relationship characterized by multiple local peaks and troughs. </w:t>
      </w:r>
      <w:r w:rsidR="00105DC1" w:rsidRPr="00721AE3">
        <w:rPr>
          <w:rFonts w:ascii="Times New Roman" w:hAnsi="Times New Roman" w:cs="Times New Roman"/>
          <w:sz w:val="24"/>
          <w:szCs w:val="24"/>
        </w:rPr>
        <w:t>The ALE curve remains predominantly positive across most of the observed network-distance range and reaches a</w:t>
      </w:r>
      <w:r w:rsidRPr="00721AE3">
        <w:rPr>
          <w:rFonts w:ascii="Times New Roman" w:hAnsi="Times New Roman" w:cs="Times New Roman"/>
          <w:sz w:val="24"/>
          <w:szCs w:val="24"/>
        </w:rPr>
        <w:t xml:space="preserve"> local maximum of approximately +</w:t>
      </w:r>
      <w:r w:rsidR="00092C41" w:rsidRPr="00721AE3">
        <w:rPr>
          <w:rFonts w:ascii="Times New Roman" w:hAnsi="Times New Roman" w:cs="Times New Roman"/>
          <w:sz w:val="24"/>
          <w:szCs w:val="24"/>
        </w:rPr>
        <w:t>0.12</w:t>
      </w:r>
      <w:r w:rsidRPr="00721AE3">
        <w:rPr>
          <w:rFonts w:ascii="Times New Roman" w:hAnsi="Times New Roman" w:cs="Times New Roman"/>
          <w:sz w:val="24"/>
          <w:szCs w:val="24"/>
        </w:rPr>
        <w:t xml:space="preserve"> near 2.8 km. </w:t>
      </w:r>
      <w:r w:rsidR="00DE1446" w:rsidRPr="00721AE3">
        <w:rPr>
          <w:rFonts w:ascii="Times New Roman" w:hAnsi="Times New Roman" w:cs="Times New Roman"/>
          <w:sz w:val="24"/>
          <w:szCs w:val="24"/>
        </w:rPr>
        <w:t>However, it briefly falls below zero between approximately 2.</w:t>
      </w:r>
      <w:r w:rsidR="00485870" w:rsidRPr="00721AE3">
        <w:rPr>
          <w:rFonts w:ascii="Times New Roman" w:hAnsi="Times New Roman" w:cs="Times New Roman"/>
          <w:sz w:val="24"/>
          <w:szCs w:val="24"/>
        </w:rPr>
        <w:t>2</w:t>
      </w:r>
      <w:r w:rsidR="00DE1446" w:rsidRPr="00721AE3">
        <w:rPr>
          <w:rFonts w:ascii="Times New Roman" w:hAnsi="Times New Roman" w:cs="Times New Roman"/>
          <w:sz w:val="24"/>
          <w:szCs w:val="24"/>
        </w:rPr>
        <w:t xml:space="preserve"> and 2.5 km before recovering to positive values, highlighting localized heterogeneity in the capitalization of primary school accessibility</w:t>
      </w:r>
      <w:r w:rsidRPr="00721AE3">
        <w:rPr>
          <w:rFonts w:ascii="Times New Roman" w:hAnsi="Times New Roman" w:cs="Times New Roman"/>
          <w:sz w:val="24"/>
          <w:szCs w:val="24"/>
        </w:rPr>
        <w:t xml:space="preserve">. Beyond approximately 3.2 km, the curve crosses zero permanently and remains negative thereafter. </w:t>
      </w:r>
      <w:r w:rsidR="00D1661B" w:rsidRPr="00721AE3">
        <w:rPr>
          <w:rFonts w:ascii="Times New Roman" w:hAnsi="Times New Roman" w:cs="Times New Roman"/>
          <w:sz w:val="24"/>
          <w:szCs w:val="24"/>
        </w:rPr>
        <w:t>This oscillating pattern suggests that the capitalization of primary school accessibility is influenced by localized factors beyond distance alone, including variation in school quality, school catchment boundaries, neighborhood socioeconomic characteristics, and the spatial distribution of competing schools</w:t>
      </w:r>
      <w:r w:rsidR="00ED519E" w:rsidRPr="00721AE3">
        <w:rPr>
          <w:rFonts w:ascii="Times New Roman" w:hAnsi="Times New Roman" w:cs="Times New Roman"/>
          <w:sz w:val="24"/>
          <w:szCs w:val="24"/>
        </w:rPr>
        <w:t>.</w:t>
      </w:r>
    </w:p>
    <w:p w14:paraId="44424C00" w14:textId="3ACDBA12" w:rsidR="005B6D59" w:rsidRPr="00721AE3" w:rsidRDefault="00785925"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Secondary schools (Panel b) display a broader and more persistent positive effect than primary schools. The ALE curve gradually increases, reaching a maximum of nearly +0.</w:t>
      </w:r>
      <w:r w:rsidR="003E6B1E" w:rsidRPr="00721AE3">
        <w:rPr>
          <w:rFonts w:ascii="Times New Roman" w:hAnsi="Times New Roman" w:cs="Times New Roman"/>
          <w:sz w:val="24"/>
          <w:szCs w:val="24"/>
        </w:rPr>
        <w:t>19</w:t>
      </w:r>
      <w:r w:rsidRPr="00721AE3">
        <w:rPr>
          <w:rFonts w:ascii="Times New Roman" w:hAnsi="Times New Roman" w:cs="Times New Roman"/>
          <w:sz w:val="24"/>
          <w:szCs w:val="24"/>
        </w:rPr>
        <w:t xml:space="preserve"> at approximately 6.</w:t>
      </w:r>
      <w:r w:rsidR="008712CB" w:rsidRPr="00721AE3">
        <w:rPr>
          <w:rFonts w:ascii="Times New Roman" w:hAnsi="Times New Roman" w:cs="Times New Roman"/>
          <w:sz w:val="24"/>
          <w:szCs w:val="24"/>
        </w:rPr>
        <w:t>6</w:t>
      </w:r>
      <w:r w:rsidRPr="00721AE3">
        <w:rPr>
          <w:rFonts w:ascii="Times New Roman" w:hAnsi="Times New Roman" w:cs="Times New Roman"/>
          <w:sz w:val="24"/>
          <w:szCs w:val="24"/>
        </w:rPr>
        <w:t xml:space="preserve"> km, before declining sharply, crossing zero shortly after 7.3 km, and becoming increasingly negative thereafter. This N-shaped relationship likely </w:t>
      </w:r>
      <w:r w:rsidR="00857246" w:rsidRPr="00721AE3">
        <w:rPr>
          <w:rFonts w:ascii="Times New Roman" w:hAnsi="Times New Roman" w:cs="Times New Roman"/>
          <w:sz w:val="24"/>
          <w:szCs w:val="24"/>
        </w:rPr>
        <w:t>reflects</w:t>
      </w:r>
      <w:r w:rsidRPr="00721AE3">
        <w:rPr>
          <w:rFonts w:ascii="Times New Roman" w:hAnsi="Times New Roman" w:cs="Times New Roman"/>
          <w:sz w:val="24"/>
          <w:szCs w:val="24"/>
        </w:rPr>
        <w:t xml:space="preserve"> Hong Kong's secondary school allocation system, under which households often prioritize access to prestigious schools beyond their immediate neighborhoods, while older students are generally willing and able to </w:t>
      </w:r>
      <w:r w:rsidRPr="00721AE3">
        <w:rPr>
          <w:rFonts w:ascii="Times New Roman" w:hAnsi="Times New Roman" w:cs="Times New Roman"/>
          <w:sz w:val="24"/>
          <w:szCs w:val="24"/>
        </w:rPr>
        <w:lastRenderedPageBreak/>
        <w:t xml:space="preserve">travel longer distances than primary school pupils. Consequently, housing </w:t>
      </w:r>
      <w:r w:rsidR="00355231" w:rsidRPr="00721AE3">
        <w:rPr>
          <w:rFonts w:ascii="Times New Roman" w:hAnsi="Times New Roman" w:cs="Times New Roman"/>
          <w:sz w:val="24"/>
          <w:szCs w:val="24"/>
        </w:rPr>
        <w:t xml:space="preserve">price </w:t>
      </w:r>
      <w:r w:rsidRPr="00721AE3">
        <w:rPr>
          <w:rFonts w:ascii="Times New Roman" w:hAnsi="Times New Roman" w:cs="Times New Roman"/>
          <w:sz w:val="24"/>
          <w:szCs w:val="24"/>
        </w:rPr>
        <w:t xml:space="preserve">premiums are sustained across intermediate network distances before diminishing </w:t>
      </w:r>
      <w:r w:rsidR="00577ADE" w:rsidRPr="00721AE3">
        <w:rPr>
          <w:rFonts w:ascii="Times New Roman" w:hAnsi="Times New Roman" w:cs="Times New Roman"/>
          <w:sz w:val="24"/>
          <w:szCs w:val="24"/>
        </w:rPr>
        <w:t>as</w:t>
      </w:r>
      <w:r w:rsidRPr="00721AE3">
        <w:rPr>
          <w:rFonts w:ascii="Times New Roman" w:hAnsi="Times New Roman" w:cs="Times New Roman"/>
          <w:sz w:val="24"/>
          <w:szCs w:val="24"/>
        </w:rPr>
        <w:t xml:space="preserve"> increasing travel </w:t>
      </w:r>
      <w:r w:rsidR="00F8538E" w:rsidRPr="00721AE3">
        <w:rPr>
          <w:rFonts w:ascii="Times New Roman" w:hAnsi="Times New Roman" w:cs="Times New Roman"/>
          <w:sz w:val="24"/>
          <w:szCs w:val="24"/>
        </w:rPr>
        <w:t>costs</w:t>
      </w:r>
      <w:r w:rsidRPr="00721AE3">
        <w:rPr>
          <w:rFonts w:ascii="Times New Roman" w:hAnsi="Times New Roman" w:cs="Times New Roman"/>
          <w:sz w:val="24"/>
          <w:szCs w:val="24"/>
        </w:rPr>
        <w:t xml:space="preserve"> </w:t>
      </w:r>
      <w:r w:rsidR="00F8538E" w:rsidRPr="00721AE3">
        <w:rPr>
          <w:rFonts w:ascii="Times New Roman" w:hAnsi="Times New Roman" w:cs="Times New Roman"/>
          <w:sz w:val="24"/>
          <w:szCs w:val="24"/>
        </w:rPr>
        <w:t>outweigh</w:t>
      </w:r>
      <w:r w:rsidRPr="00721AE3">
        <w:rPr>
          <w:rFonts w:ascii="Times New Roman" w:hAnsi="Times New Roman" w:cs="Times New Roman"/>
          <w:sz w:val="24"/>
          <w:szCs w:val="24"/>
        </w:rPr>
        <w:t xml:space="preserve"> the benefits of accessibility</w:t>
      </w:r>
      <w:r w:rsidR="006A635B" w:rsidRPr="00721AE3">
        <w:rPr>
          <w:rFonts w:ascii="Times New Roman" w:hAnsi="Times New Roman" w:cs="Times New Roman"/>
          <w:sz w:val="24"/>
          <w:szCs w:val="24"/>
        </w:rPr>
        <w:t>.</w:t>
      </w:r>
    </w:p>
    <w:p w14:paraId="68870951" w14:textId="16D4E64F" w:rsidR="000205A4" w:rsidRPr="00721AE3" w:rsidRDefault="00D85297"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Universities (Panel c) exhibit </w:t>
      </w:r>
      <w:r w:rsidR="00B1094D" w:rsidRPr="00721AE3">
        <w:rPr>
          <w:rFonts w:ascii="Times New Roman" w:hAnsi="Times New Roman" w:cs="Times New Roman"/>
          <w:sz w:val="24"/>
          <w:szCs w:val="24"/>
        </w:rPr>
        <w:t>the broadest service catchment among the three education categories</w:t>
      </w:r>
      <w:r w:rsidR="00A6008E" w:rsidRPr="00721AE3">
        <w:rPr>
          <w:rFonts w:ascii="Times New Roman" w:hAnsi="Times New Roman" w:cs="Times New Roman"/>
          <w:sz w:val="24"/>
          <w:szCs w:val="24"/>
        </w:rPr>
        <w:t>, maintaining positive capitalization effects across both short and intermediate network distances</w:t>
      </w:r>
      <w:r w:rsidRPr="00721AE3">
        <w:rPr>
          <w:rFonts w:ascii="Times New Roman" w:hAnsi="Times New Roman" w:cs="Times New Roman"/>
          <w:sz w:val="24"/>
          <w:szCs w:val="24"/>
        </w:rPr>
        <w:t xml:space="preserve">. The ALE curve </w:t>
      </w:r>
      <w:r w:rsidR="001162D5" w:rsidRPr="00721AE3">
        <w:rPr>
          <w:rFonts w:ascii="Times New Roman" w:hAnsi="Times New Roman" w:cs="Times New Roman"/>
          <w:sz w:val="24"/>
          <w:szCs w:val="24"/>
        </w:rPr>
        <w:t xml:space="preserve">reaches a maximum of nearly +0.16 at approximately </w:t>
      </w:r>
      <w:r w:rsidR="00FF09E0" w:rsidRPr="00721AE3">
        <w:rPr>
          <w:rFonts w:ascii="Times New Roman" w:hAnsi="Times New Roman" w:cs="Times New Roman"/>
          <w:sz w:val="24"/>
          <w:szCs w:val="24"/>
        </w:rPr>
        <w:t>1.</w:t>
      </w:r>
      <w:r w:rsidR="00553153" w:rsidRPr="00721AE3">
        <w:rPr>
          <w:rFonts w:ascii="Times New Roman" w:hAnsi="Times New Roman" w:cs="Times New Roman"/>
          <w:sz w:val="24"/>
          <w:szCs w:val="24"/>
        </w:rPr>
        <w:t>6</w:t>
      </w:r>
      <w:r w:rsidR="001162D5" w:rsidRPr="00721AE3">
        <w:rPr>
          <w:rFonts w:ascii="Times New Roman" w:hAnsi="Times New Roman" w:cs="Times New Roman"/>
          <w:sz w:val="24"/>
          <w:szCs w:val="24"/>
        </w:rPr>
        <w:t xml:space="preserve"> km</w:t>
      </w:r>
      <w:r w:rsidRPr="00721AE3">
        <w:rPr>
          <w:rFonts w:ascii="Times New Roman" w:hAnsi="Times New Roman" w:cs="Times New Roman"/>
          <w:sz w:val="24"/>
          <w:szCs w:val="24"/>
        </w:rPr>
        <w:t xml:space="preserve">, </w:t>
      </w:r>
      <w:r w:rsidR="00F24831" w:rsidRPr="00721AE3">
        <w:rPr>
          <w:rFonts w:ascii="Times New Roman" w:hAnsi="Times New Roman" w:cs="Times New Roman"/>
          <w:sz w:val="24"/>
          <w:szCs w:val="24"/>
        </w:rPr>
        <w:t xml:space="preserve">remains positive over a relatively wide range, </w:t>
      </w:r>
      <w:r w:rsidRPr="00721AE3">
        <w:rPr>
          <w:rFonts w:ascii="Times New Roman" w:hAnsi="Times New Roman" w:cs="Times New Roman"/>
          <w:sz w:val="24"/>
          <w:szCs w:val="24"/>
        </w:rPr>
        <w:t>crosses zero at approximately 4.5 km, and subsequently decreases more rapidly. Th</w:t>
      </w:r>
      <w:r w:rsidR="0040179E" w:rsidRPr="00721AE3">
        <w:rPr>
          <w:rFonts w:ascii="Times New Roman" w:hAnsi="Times New Roman" w:cs="Times New Roman"/>
          <w:sz w:val="24"/>
          <w:szCs w:val="24"/>
        </w:rPr>
        <w:t>is</w:t>
      </w:r>
      <w:r w:rsidRPr="00721AE3">
        <w:rPr>
          <w:rFonts w:ascii="Times New Roman" w:hAnsi="Times New Roman" w:cs="Times New Roman"/>
          <w:sz w:val="24"/>
          <w:szCs w:val="24"/>
        </w:rPr>
        <w:t xml:space="preserve"> broad service catchment reflects the regional influence of universities, whose benefits extend beyond surrounding neighborhoods through employment opportunities, knowledge spillovers,</w:t>
      </w:r>
      <w:r w:rsidR="00E57E15" w:rsidRPr="00721AE3">
        <w:rPr>
          <w:rFonts w:ascii="Times New Roman" w:hAnsi="Times New Roman" w:cs="Times New Roman"/>
          <w:sz w:val="24"/>
          <w:szCs w:val="24"/>
        </w:rPr>
        <w:t xml:space="preserve"> research activities,</w:t>
      </w:r>
      <w:r w:rsidRPr="00721AE3">
        <w:rPr>
          <w:rFonts w:ascii="Times New Roman" w:hAnsi="Times New Roman" w:cs="Times New Roman"/>
          <w:sz w:val="24"/>
          <w:szCs w:val="24"/>
        </w:rPr>
        <w:t xml:space="preserve"> and educational resources. </w:t>
      </w:r>
      <w:r w:rsidR="00C54F81" w:rsidRPr="00721AE3">
        <w:rPr>
          <w:rFonts w:ascii="Times New Roman" w:hAnsi="Times New Roman" w:cs="Times New Roman"/>
          <w:sz w:val="24"/>
          <w:szCs w:val="24"/>
        </w:rPr>
        <w:t xml:space="preserve">Beyond approximately 4.5 km, however, </w:t>
      </w:r>
      <w:r w:rsidR="00AE65EE" w:rsidRPr="00721AE3">
        <w:rPr>
          <w:rFonts w:ascii="Times New Roman" w:hAnsi="Times New Roman" w:cs="Times New Roman"/>
          <w:sz w:val="24"/>
          <w:szCs w:val="24"/>
        </w:rPr>
        <w:t xml:space="preserve">these </w:t>
      </w:r>
      <w:r w:rsidR="00C54F81" w:rsidRPr="00721AE3">
        <w:rPr>
          <w:rFonts w:ascii="Times New Roman" w:hAnsi="Times New Roman" w:cs="Times New Roman"/>
          <w:sz w:val="24"/>
          <w:szCs w:val="24"/>
        </w:rPr>
        <w:t>capitalization benefits diminish</w:t>
      </w:r>
      <w:r w:rsidR="002F6752" w:rsidRPr="00721AE3">
        <w:rPr>
          <w:rFonts w:ascii="Times New Roman" w:hAnsi="Times New Roman" w:cs="Times New Roman"/>
          <w:sz w:val="24"/>
          <w:szCs w:val="24"/>
        </w:rPr>
        <w:t xml:space="preserve"> rapidly</w:t>
      </w:r>
      <w:r w:rsidR="00C54F81" w:rsidRPr="00721AE3">
        <w:rPr>
          <w:rFonts w:ascii="Times New Roman" w:hAnsi="Times New Roman" w:cs="Times New Roman"/>
          <w:sz w:val="24"/>
          <w:szCs w:val="24"/>
        </w:rPr>
        <w:t>, leading to declining housing price premiums.</w:t>
      </w:r>
    </w:p>
    <w:p w14:paraId="08B75279" w14:textId="09313D7C" w:rsidR="00913AE2" w:rsidRPr="00721AE3" w:rsidRDefault="00913AE2"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Overall, the results demonstrate that </w:t>
      </w:r>
      <w:r w:rsidR="00583D3F" w:rsidRPr="00721AE3">
        <w:rPr>
          <w:rFonts w:ascii="Times New Roman" w:hAnsi="Times New Roman" w:cs="Times New Roman"/>
          <w:sz w:val="24"/>
          <w:szCs w:val="24"/>
        </w:rPr>
        <w:t xml:space="preserve">the capitalization of </w:t>
      </w:r>
      <w:r w:rsidRPr="00721AE3">
        <w:rPr>
          <w:rFonts w:ascii="Times New Roman" w:hAnsi="Times New Roman" w:cs="Times New Roman"/>
          <w:sz w:val="24"/>
          <w:szCs w:val="24"/>
        </w:rPr>
        <w:t xml:space="preserve">educational accessibility is governed by </w:t>
      </w:r>
      <w:r w:rsidR="002E5D44" w:rsidRPr="00721AE3">
        <w:rPr>
          <w:rFonts w:ascii="Times New Roman" w:hAnsi="Times New Roman" w:cs="Times New Roman"/>
          <w:sz w:val="24"/>
          <w:szCs w:val="24"/>
        </w:rPr>
        <w:t>education-</w:t>
      </w:r>
      <w:r w:rsidRPr="00721AE3">
        <w:rPr>
          <w:rFonts w:ascii="Times New Roman" w:hAnsi="Times New Roman" w:cs="Times New Roman"/>
          <w:sz w:val="24"/>
          <w:szCs w:val="24"/>
        </w:rPr>
        <w:t xml:space="preserve">stage-specific distance thresholds rather than a </w:t>
      </w:r>
      <w:r w:rsidR="009213AB" w:rsidRPr="00721AE3">
        <w:rPr>
          <w:rFonts w:ascii="Times New Roman" w:hAnsi="Times New Roman" w:cs="Times New Roman"/>
          <w:sz w:val="24"/>
          <w:szCs w:val="24"/>
        </w:rPr>
        <w:t>universal</w:t>
      </w:r>
      <w:r w:rsidRPr="00721AE3">
        <w:rPr>
          <w:rFonts w:ascii="Times New Roman" w:hAnsi="Times New Roman" w:cs="Times New Roman"/>
          <w:sz w:val="24"/>
          <w:szCs w:val="24"/>
        </w:rPr>
        <w:t xml:space="preserve"> proximity effect. </w:t>
      </w:r>
      <w:r w:rsidR="00FE5C8E" w:rsidRPr="00721AE3">
        <w:rPr>
          <w:rFonts w:ascii="Times New Roman" w:hAnsi="Times New Roman" w:cs="Times New Roman"/>
          <w:sz w:val="24"/>
          <w:szCs w:val="24"/>
        </w:rPr>
        <w:t>More</w:t>
      </w:r>
      <w:r w:rsidR="00CC3658" w:rsidRPr="00721AE3">
        <w:rPr>
          <w:rFonts w:ascii="Times New Roman" w:hAnsi="Times New Roman" w:cs="Times New Roman"/>
          <w:sz w:val="24"/>
          <w:szCs w:val="24"/>
        </w:rPr>
        <w:t xml:space="preserve"> broadly</w:t>
      </w:r>
      <w:r w:rsidR="00FE5C8E" w:rsidRPr="00721AE3">
        <w:rPr>
          <w:rFonts w:ascii="Times New Roman" w:hAnsi="Times New Roman" w:cs="Times New Roman"/>
          <w:sz w:val="24"/>
          <w:szCs w:val="24"/>
        </w:rPr>
        <w:t xml:space="preserve">, </w:t>
      </w:r>
      <w:r w:rsidR="00904168" w:rsidRPr="00721AE3">
        <w:rPr>
          <w:rFonts w:ascii="Times New Roman" w:hAnsi="Times New Roman" w:cs="Times New Roman"/>
          <w:sz w:val="24"/>
          <w:szCs w:val="24"/>
        </w:rPr>
        <w:t>the</w:t>
      </w:r>
      <w:r w:rsidR="00090E46" w:rsidRPr="00721AE3">
        <w:rPr>
          <w:rFonts w:ascii="Times New Roman" w:hAnsi="Times New Roman" w:cs="Times New Roman"/>
          <w:sz w:val="24"/>
          <w:szCs w:val="24"/>
        </w:rPr>
        <w:t>se</w:t>
      </w:r>
      <w:r w:rsidRPr="00721AE3">
        <w:rPr>
          <w:rFonts w:ascii="Times New Roman" w:hAnsi="Times New Roman" w:cs="Times New Roman"/>
          <w:sz w:val="24"/>
          <w:szCs w:val="24"/>
        </w:rPr>
        <w:t xml:space="preserve"> findings </w:t>
      </w:r>
      <w:r w:rsidR="000E43E7" w:rsidRPr="00721AE3">
        <w:rPr>
          <w:rFonts w:ascii="Times New Roman" w:hAnsi="Times New Roman" w:cs="Times New Roman"/>
          <w:sz w:val="24"/>
          <w:szCs w:val="24"/>
        </w:rPr>
        <w:t>align with previous</w:t>
      </w:r>
      <w:r w:rsidR="00BE2801" w:rsidRPr="00721AE3">
        <w:rPr>
          <w:rFonts w:ascii="Times New Roman" w:hAnsi="Times New Roman" w:cs="Times New Roman"/>
          <w:sz w:val="24"/>
          <w:szCs w:val="24"/>
        </w:rPr>
        <w:t xml:space="preserve"> research indicating</w:t>
      </w:r>
      <w:r w:rsidR="001B4622" w:rsidRPr="00721AE3">
        <w:rPr>
          <w:rFonts w:ascii="Times New Roman" w:hAnsi="Times New Roman" w:cs="Times New Roman"/>
          <w:sz w:val="24"/>
          <w:szCs w:val="24"/>
        </w:rPr>
        <w:t xml:space="preserve"> </w:t>
      </w:r>
      <w:r w:rsidRPr="00721AE3">
        <w:rPr>
          <w:rFonts w:ascii="Times New Roman" w:hAnsi="Times New Roman" w:cs="Times New Roman"/>
          <w:sz w:val="24"/>
          <w:szCs w:val="24"/>
        </w:rPr>
        <w:t>that housing price premiums associated with education</w:t>
      </w:r>
      <w:r w:rsidR="005B5BC1" w:rsidRPr="00721AE3">
        <w:rPr>
          <w:rFonts w:ascii="Times New Roman" w:hAnsi="Times New Roman" w:cs="Times New Roman"/>
          <w:sz w:val="24"/>
          <w:szCs w:val="24"/>
        </w:rPr>
        <w:t>al facilities</w:t>
      </w:r>
      <w:r w:rsidRPr="00721AE3">
        <w:rPr>
          <w:rFonts w:ascii="Times New Roman" w:hAnsi="Times New Roman" w:cs="Times New Roman"/>
          <w:sz w:val="24"/>
          <w:szCs w:val="24"/>
        </w:rPr>
        <w:t xml:space="preserve"> are </w:t>
      </w:r>
      <w:r w:rsidR="00C74DC0" w:rsidRPr="00721AE3">
        <w:rPr>
          <w:rFonts w:ascii="Times New Roman" w:hAnsi="Times New Roman" w:cs="Times New Roman"/>
          <w:sz w:val="24"/>
          <w:szCs w:val="24"/>
        </w:rPr>
        <w:t xml:space="preserve">shaped by the interplay of </w:t>
      </w:r>
      <w:r w:rsidRPr="00721AE3">
        <w:rPr>
          <w:rFonts w:ascii="Times New Roman" w:hAnsi="Times New Roman" w:cs="Times New Roman"/>
          <w:sz w:val="24"/>
          <w:szCs w:val="24"/>
        </w:rPr>
        <w:t>accessibility, institutional quality, school catchment policies, and household educational preferences</w:t>
      </w:r>
      <w:r w:rsidR="00A01EC8" w:rsidRPr="00721AE3">
        <w:rPr>
          <w:rFonts w:ascii="Times New Roman" w:hAnsi="Times New Roman" w:cs="Times New Roman"/>
          <w:sz w:val="24"/>
          <w:szCs w:val="24"/>
        </w:rPr>
        <w:t>,</w:t>
      </w:r>
      <w:r w:rsidRPr="00721AE3">
        <w:rPr>
          <w:rFonts w:ascii="Times New Roman" w:hAnsi="Times New Roman" w:cs="Times New Roman"/>
          <w:sz w:val="24"/>
          <w:szCs w:val="24"/>
        </w:rPr>
        <w:t xml:space="preserve"> rather than </w:t>
      </w:r>
      <w:r w:rsidR="00855E50" w:rsidRPr="00721AE3">
        <w:rPr>
          <w:rFonts w:ascii="Times New Roman" w:hAnsi="Times New Roman" w:cs="Times New Roman"/>
          <w:sz w:val="24"/>
          <w:szCs w:val="24"/>
        </w:rPr>
        <w:t xml:space="preserve">by </w:t>
      </w:r>
      <w:r w:rsidRPr="00721AE3">
        <w:rPr>
          <w:rFonts w:ascii="Times New Roman" w:hAnsi="Times New Roman" w:cs="Times New Roman"/>
          <w:sz w:val="24"/>
          <w:szCs w:val="24"/>
        </w:rPr>
        <w:t>distance alone (Black, 1999; Gibbons &amp; Machin, 2008; Feng &amp; Lu, 2013; Wen et al., 2019; Lee et al., 2025)</w:t>
      </w:r>
      <w:r w:rsidR="00904168" w:rsidRPr="00721AE3">
        <w:rPr>
          <w:rFonts w:ascii="Times New Roman" w:hAnsi="Times New Roman" w:cs="Times New Roman"/>
          <w:sz w:val="24"/>
          <w:szCs w:val="24"/>
        </w:rPr>
        <w:t>.</w:t>
      </w:r>
    </w:p>
    <w:p w14:paraId="3C691759" w14:textId="16B5D274" w:rsidR="00A12519" w:rsidRPr="00721AE3" w:rsidRDefault="00A12519" w:rsidP="00A12519">
      <w:pPr>
        <w:spacing w:line="480" w:lineRule="auto"/>
        <w:jc w:val="both"/>
        <w:rPr>
          <w:rFonts w:ascii="Times New Roman" w:hAnsi="Times New Roman" w:cs="Times New Roman"/>
          <w:sz w:val="24"/>
          <w:szCs w:val="24"/>
        </w:rPr>
      </w:pPr>
    </w:p>
    <w:p w14:paraId="155D900F" w14:textId="2DB51E67" w:rsidR="00B07615" w:rsidRPr="00721AE3" w:rsidRDefault="00B07615" w:rsidP="00D47103">
      <w:pPr>
        <w:spacing w:line="480" w:lineRule="auto"/>
        <w:jc w:val="both"/>
        <w:rPr>
          <w:rFonts w:ascii="Times New Roman" w:hAnsi="Times New Roman" w:cs="Times New Roman"/>
          <w:sz w:val="24"/>
          <w:szCs w:val="24"/>
        </w:rPr>
      </w:pPr>
    </w:p>
    <w:p w14:paraId="2132871D" w14:textId="425F0724" w:rsidR="004657EA" w:rsidRPr="00721AE3" w:rsidRDefault="004657EA" w:rsidP="004657EA">
      <w:pPr>
        <w:spacing w:line="480" w:lineRule="auto"/>
        <w:jc w:val="both"/>
        <w:rPr>
          <w:rFonts w:ascii="Times New Roman" w:hAnsi="Times New Roman" w:cs="Times New Roman"/>
          <w:sz w:val="24"/>
          <w:szCs w:val="24"/>
        </w:rPr>
      </w:pPr>
    </w:p>
    <w:p w14:paraId="7571D21D" w14:textId="7A3AB2B5" w:rsidR="003A6CC8" w:rsidRPr="00721AE3" w:rsidRDefault="004E02B9" w:rsidP="006D5B24">
      <w:pPr>
        <w:spacing w:after="0" w:line="360" w:lineRule="auto"/>
        <w:jc w:val="both"/>
        <w:rPr>
          <w:rFonts w:ascii="Times New Roman" w:hAnsi="Times New Roman" w:cs="Times New Roman"/>
          <w:sz w:val="24"/>
          <w:szCs w:val="24"/>
        </w:rPr>
      </w:pPr>
      <w:r w:rsidRPr="00721AE3">
        <w:rPr>
          <w:noProof/>
        </w:rPr>
        <w:lastRenderedPageBreak/>
        <w:drawing>
          <wp:inline distT="0" distB="0" distL="0" distR="0" wp14:anchorId="5DAEF3AD" wp14:editId="06F7E49A">
            <wp:extent cx="5943600" cy="2291715"/>
            <wp:effectExtent l="0" t="0" r="0" b="0"/>
            <wp:docPr id="1436995957"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95957" name="Picture 1" descr="A graph of a graph&#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291715"/>
                    </a:xfrm>
                    <a:prstGeom prst="rect">
                      <a:avLst/>
                    </a:prstGeom>
                    <a:noFill/>
                    <a:ln>
                      <a:noFill/>
                    </a:ln>
                  </pic:spPr>
                </pic:pic>
              </a:graphicData>
            </a:graphic>
          </wp:inline>
        </w:drawing>
      </w:r>
    </w:p>
    <w:p w14:paraId="411DFA64" w14:textId="720772B8" w:rsidR="00974C67" w:rsidRPr="00721AE3" w:rsidRDefault="00D57AF5" w:rsidP="00CE2308">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Figure </w:t>
      </w:r>
      <w:r w:rsidR="00A67CE4" w:rsidRPr="00721AE3">
        <w:rPr>
          <w:rFonts w:ascii="Times New Roman" w:hAnsi="Times New Roman" w:cs="Times New Roman"/>
          <w:sz w:val="24"/>
          <w:szCs w:val="24"/>
        </w:rPr>
        <w:t>7</w:t>
      </w:r>
      <w:r w:rsidRPr="00721AE3">
        <w:rPr>
          <w:rFonts w:ascii="Times New Roman" w:hAnsi="Times New Roman" w:cs="Times New Roman"/>
          <w:sz w:val="24"/>
          <w:szCs w:val="24"/>
        </w:rPr>
        <w:t xml:space="preserve">. Distance decay effects of </w:t>
      </w:r>
      <w:r w:rsidR="00384461" w:rsidRPr="00721AE3">
        <w:rPr>
          <w:rFonts w:ascii="Times New Roman" w:hAnsi="Times New Roman" w:cs="Times New Roman"/>
          <w:sz w:val="24"/>
          <w:szCs w:val="24"/>
        </w:rPr>
        <w:t>education</w:t>
      </w:r>
      <w:r w:rsidR="00313CE7" w:rsidRPr="00721AE3">
        <w:rPr>
          <w:rFonts w:ascii="Times New Roman" w:hAnsi="Times New Roman" w:cs="Times New Roman"/>
          <w:sz w:val="24"/>
          <w:szCs w:val="24"/>
        </w:rPr>
        <w:t xml:space="preserve"> facilities</w:t>
      </w:r>
      <w:r w:rsidRPr="00721AE3">
        <w:rPr>
          <w:rFonts w:ascii="Times New Roman" w:hAnsi="Times New Roman" w:cs="Times New Roman"/>
          <w:sz w:val="24"/>
          <w:szCs w:val="24"/>
        </w:rPr>
        <w:t xml:space="preserve"> on housing prices</w:t>
      </w:r>
    </w:p>
    <w:p w14:paraId="120B3D93" w14:textId="0CE41DFF" w:rsidR="004139D6" w:rsidRPr="00721AE3" w:rsidRDefault="004139D6" w:rsidP="00CE2308">
      <w:pPr>
        <w:pStyle w:val="a9"/>
        <w:numPr>
          <w:ilvl w:val="0"/>
          <w:numId w:val="1"/>
        </w:numPr>
        <w:spacing w:line="360" w:lineRule="auto"/>
        <w:ind w:left="426" w:hanging="426"/>
        <w:jc w:val="both"/>
        <w:rPr>
          <w:rFonts w:ascii="Times New Roman" w:hAnsi="Times New Roman" w:cs="Times New Roman"/>
          <w:b/>
          <w:bCs/>
          <w:sz w:val="24"/>
          <w:szCs w:val="24"/>
        </w:rPr>
      </w:pPr>
      <w:r w:rsidRPr="00721AE3">
        <w:rPr>
          <w:rFonts w:ascii="Times New Roman" w:hAnsi="Times New Roman" w:cs="Times New Roman"/>
          <w:b/>
          <w:bCs/>
          <w:sz w:val="24"/>
          <w:szCs w:val="24"/>
        </w:rPr>
        <w:t>Conclusion</w:t>
      </w:r>
      <w:r w:rsidR="00D853F1" w:rsidRPr="00721AE3">
        <w:rPr>
          <w:rFonts w:ascii="Times New Roman" w:hAnsi="Times New Roman" w:cs="Times New Roman"/>
          <w:b/>
          <w:bCs/>
          <w:sz w:val="24"/>
          <w:szCs w:val="24"/>
        </w:rPr>
        <w:t>s</w:t>
      </w:r>
      <w:r w:rsidRPr="00721AE3">
        <w:rPr>
          <w:rFonts w:ascii="Times New Roman" w:hAnsi="Times New Roman" w:cs="Times New Roman"/>
          <w:b/>
          <w:bCs/>
          <w:sz w:val="24"/>
          <w:szCs w:val="24"/>
        </w:rPr>
        <w:t xml:space="preserve"> </w:t>
      </w:r>
    </w:p>
    <w:p w14:paraId="2ECECE57" w14:textId="65C24123" w:rsidR="00B04C1F" w:rsidRPr="00721AE3" w:rsidRDefault="005D5C0D"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This study advances understanding of housing price formation by identifying the distance</w:t>
      </w:r>
      <w:r w:rsidR="00A17725" w:rsidRPr="00721AE3">
        <w:rPr>
          <w:rFonts w:ascii="Times New Roman" w:hAnsi="Times New Roman" w:cs="Times New Roman"/>
          <w:sz w:val="24"/>
          <w:szCs w:val="24"/>
        </w:rPr>
        <w:t xml:space="preserve"> </w:t>
      </w:r>
      <w:r w:rsidRPr="00721AE3">
        <w:rPr>
          <w:rFonts w:ascii="Times New Roman" w:hAnsi="Times New Roman" w:cs="Times New Roman"/>
          <w:sz w:val="24"/>
          <w:szCs w:val="24"/>
        </w:rPr>
        <w:t>decay effects of urban amenities using explainable machine learning techniques</w:t>
      </w:r>
      <w:r w:rsidR="002308A0" w:rsidRPr="00721AE3">
        <w:rPr>
          <w:rFonts w:ascii="Times New Roman" w:hAnsi="Times New Roman" w:cs="Times New Roman"/>
          <w:sz w:val="24"/>
          <w:szCs w:val="24"/>
        </w:rPr>
        <w:t xml:space="preserve"> and network-based accessibility measures</w:t>
      </w:r>
      <w:r w:rsidRPr="00721AE3">
        <w:rPr>
          <w:rFonts w:ascii="Times New Roman" w:hAnsi="Times New Roman" w:cs="Times New Roman"/>
          <w:sz w:val="24"/>
          <w:szCs w:val="24"/>
        </w:rPr>
        <w:t xml:space="preserve">. By integrating XGBoost with SHAP and ALE on a large-scale dataset of </w:t>
      </w:r>
      <w:r w:rsidR="00CC5675" w:rsidRPr="00721AE3">
        <w:rPr>
          <w:rFonts w:ascii="Times New Roman" w:hAnsi="Times New Roman" w:cs="Times New Roman"/>
          <w:sz w:val="24"/>
          <w:szCs w:val="24"/>
        </w:rPr>
        <w:t>722</w:t>
      </w:r>
      <w:r w:rsidR="003071BD" w:rsidRPr="00721AE3">
        <w:rPr>
          <w:rFonts w:ascii="Times New Roman" w:hAnsi="Times New Roman" w:cs="Times New Roman"/>
          <w:sz w:val="24"/>
          <w:szCs w:val="24"/>
        </w:rPr>
        <w:t>,244</w:t>
      </w:r>
      <w:r w:rsidRPr="00721AE3">
        <w:rPr>
          <w:rFonts w:ascii="Times New Roman" w:hAnsi="Times New Roman" w:cs="Times New Roman"/>
          <w:sz w:val="24"/>
          <w:szCs w:val="24"/>
        </w:rPr>
        <w:t xml:space="preserve"> property transactions in Hong Kong, the analysis uncovers precise, data-driven functional forms of amenity capitalization in one of the world’s most compact urban</w:t>
      </w:r>
      <w:r w:rsidR="00F97EE5" w:rsidRPr="00721AE3">
        <w:rPr>
          <w:rFonts w:ascii="Times New Roman" w:hAnsi="Times New Roman" w:cs="Times New Roman"/>
          <w:sz w:val="24"/>
          <w:szCs w:val="24"/>
        </w:rPr>
        <w:t xml:space="preserve"> </w:t>
      </w:r>
      <w:r w:rsidR="00560063" w:rsidRPr="00721AE3">
        <w:rPr>
          <w:rFonts w:ascii="Times New Roman" w:hAnsi="Times New Roman" w:cs="Times New Roman"/>
          <w:sz w:val="24"/>
          <w:szCs w:val="24"/>
        </w:rPr>
        <w:t>environment</w:t>
      </w:r>
      <w:r w:rsidR="00036AF4" w:rsidRPr="00721AE3">
        <w:rPr>
          <w:rFonts w:ascii="Times New Roman" w:hAnsi="Times New Roman" w:cs="Times New Roman"/>
          <w:sz w:val="24"/>
          <w:szCs w:val="24"/>
        </w:rPr>
        <w:t>s</w:t>
      </w:r>
      <w:r w:rsidRPr="00721AE3">
        <w:rPr>
          <w:rFonts w:ascii="Times New Roman" w:hAnsi="Times New Roman" w:cs="Times New Roman"/>
          <w:sz w:val="24"/>
          <w:szCs w:val="24"/>
        </w:rPr>
        <w:t xml:space="preserve">. </w:t>
      </w:r>
      <w:r w:rsidR="00ED68D8" w:rsidRPr="00721AE3">
        <w:rPr>
          <w:rFonts w:ascii="Times New Roman" w:hAnsi="Times New Roman" w:cs="Times New Roman"/>
          <w:sz w:val="24"/>
          <w:szCs w:val="24"/>
        </w:rPr>
        <w:t xml:space="preserve">Methodologically, this framework combines machine learning with explainable AI tools and pedestrian walking network distance to provide a transparent approach for identifying continuous distance-response functions and amenity-specific thresholds that are difficult to </w:t>
      </w:r>
      <w:r w:rsidR="0002302C" w:rsidRPr="00721AE3">
        <w:rPr>
          <w:rFonts w:ascii="Times New Roman" w:hAnsi="Times New Roman" w:cs="Times New Roman"/>
          <w:sz w:val="24"/>
          <w:szCs w:val="24"/>
        </w:rPr>
        <w:t>ca</w:t>
      </w:r>
      <w:r w:rsidR="00513202" w:rsidRPr="00721AE3">
        <w:rPr>
          <w:rFonts w:ascii="Times New Roman" w:hAnsi="Times New Roman" w:cs="Times New Roman"/>
          <w:sz w:val="24"/>
          <w:szCs w:val="24"/>
        </w:rPr>
        <w:t>pture</w:t>
      </w:r>
      <w:r w:rsidR="00ED68D8" w:rsidRPr="00721AE3">
        <w:rPr>
          <w:rFonts w:ascii="Times New Roman" w:hAnsi="Times New Roman" w:cs="Times New Roman"/>
          <w:sz w:val="24"/>
          <w:szCs w:val="24"/>
        </w:rPr>
        <w:t xml:space="preserve"> using conventional hedonic </w:t>
      </w:r>
      <w:r w:rsidR="00513202" w:rsidRPr="00721AE3">
        <w:rPr>
          <w:rFonts w:ascii="Times New Roman" w:hAnsi="Times New Roman" w:cs="Times New Roman"/>
          <w:sz w:val="24"/>
          <w:szCs w:val="24"/>
        </w:rPr>
        <w:t>model</w:t>
      </w:r>
      <w:r w:rsidR="00ED68D8" w:rsidRPr="00721AE3">
        <w:rPr>
          <w:rFonts w:ascii="Times New Roman" w:hAnsi="Times New Roman" w:cs="Times New Roman"/>
          <w:sz w:val="24"/>
          <w:szCs w:val="24"/>
        </w:rPr>
        <w:t xml:space="preserve">s. </w:t>
      </w:r>
      <w:r w:rsidRPr="00721AE3">
        <w:rPr>
          <w:rFonts w:ascii="Times New Roman" w:hAnsi="Times New Roman" w:cs="Times New Roman"/>
          <w:sz w:val="24"/>
          <w:szCs w:val="24"/>
        </w:rPr>
        <w:t xml:space="preserve">The results demonstrate that the relationship between amenities and housing prices is strongly non-linear, threshold-dependent, and amenity-specific, challenging the conventional assumption </w:t>
      </w:r>
      <w:r w:rsidR="00387184" w:rsidRPr="00721AE3">
        <w:rPr>
          <w:rFonts w:ascii="Times New Roman" w:hAnsi="Times New Roman" w:cs="Times New Roman"/>
          <w:sz w:val="24"/>
          <w:szCs w:val="24"/>
        </w:rPr>
        <w:t>that amenity effects decay</w:t>
      </w:r>
      <w:r w:rsidRPr="00721AE3">
        <w:rPr>
          <w:rFonts w:ascii="Times New Roman" w:hAnsi="Times New Roman" w:cs="Times New Roman"/>
          <w:sz w:val="24"/>
          <w:szCs w:val="24"/>
        </w:rPr>
        <w:t xml:space="preserve"> </w:t>
      </w:r>
      <w:r w:rsidR="00387184" w:rsidRPr="00721AE3">
        <w:rPr>
          <w:rFonts w:ascii="Times New Roman" w:hAnsi="Times New Roman" w:cs="Times New Roman"/>
          <w:sz w:val="24"/>
          <w:szCs w:val="24"/>
        </w:rPr>
        <w:t xml:space="preserve">smoothly </w:t>
      </w:r>
      <w:r w:rsidRPr="00721AE3">
        <w:rPr>
          <w:rFonts w:ascii="Times New Roman" w:hAnsi="Times New Roman" w:cs="Times New Roman"/>
          <w:sz w:val="24"/>
          <w:szCs w:val="24"/>
        </w:rPr>
        <w:t>or monotonic</w:t>
      </w:r>
      <w:r w:rsidR="00175485" w:rsidRPr="00721AE3">
        <w:rPr>
          <w:rFonts w:ascii="Times New Roman" w:hAnsi="Times New Roman" w:cs="Times New Roman"/>
          <w:sz w:val="24"/>
          <w:szCs w:val="24"/>
        </w:rPr>
        <w:t>ally with</w:t>
      </w:r>
      <w:r w:rsidRPr="00721AE3">
        <w:rPr>
          <w:rFonts w:ascii="Times New Roman" w:hAnsi="Times New Roman" w:cs="Times New Roman"/>
          <w:sz w:val="24"/>
          <w:szCs w:val="24"/>
        </w:rPr>
        <w:t xml:space="preserve"> distance.</w:t>
      </w:r>
    </w:p>
    <w:p w14:paraId="69F54FDF" w14:textId="031BA5EC" w:rsidR="00B04C1F" w:rsidRPr="00721AE3" w:rsidRDefault="00BF5587"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A </w:t>
      </w:r>
      <w:r w:rsidR="005D0711" w:rsidRPr="00721AE3">
        <w:rPr>
          <w:rFonts w:ascii="Times New Roman" w:hAnsi="Times New Roman" w:cs="Times New Roman"/>
          <w:sz w:val="24"/>
          <w:szCs w:val="24"/>
        </w:rPr>
        <w:t>key</w:t>
      </w:r>
      <w:r w:rsidRPr="00721AE3">
        <w:rPr>
          <w:rFonts w:ascii="Times New Roman" w:hAnsi="Times New Roman" w:cs="Times New Roman"/>
          <w:sz w:val="24"/>
          <w:szCs w:val="24"/>
        </w:rPr>
        <w:t xml:space="preserve"> empirical contribution is the identification of </w:t>
      </w:r>
      <w:r w:rsidR="00846AEC" w:rsidRPr="00721AE3">
        <w:rPr>
          <w:rFonts w:ascii="Times New Roman" w:hAnsi="Times New Roman" w:cs="Times New Roman"/>
          <w:sz w:val="24"/>
          <w:szCs w:val="24"/>
        </w:rPr>
        <w:t xml:space="preserve">clear and </w:t>
      </w:r>
      <w:r w:rsidR="005E064F" w:rsidRPr="00721AE3">
        <w:rPr>
          <w:rFonts w:ascii="Times New Roman" w:hAnsi="Times New Roman" w:cs="Times New Roman"/>
          <w:sz w:val="24"/>
          <w:szCs w:val="24"/>
        </w:rPr>
        <w:t xml:space="preserve">amenity-specific </w:t>
      </w:r>
      <w:r w:rsidR="00FC6876" w:rsidRPr="00721AE3">
        <w:rPr>
          <w:rFonts w:ascii="Times New Roman" w:hAnsi="Times New Roman" w:cs="Times New Roman"/>
          <w:sz w:val="24"/>
          <w:szCs w:val="24"/>
        </w:rPr>
        <w:t xml:space="preserve">spatial thresholds based on </w:t>
      </w:r>
      <w:r w:rsidR="00EB57BB" w:rsidRPr="00721AE3">
        <w:rPr>
          <w:rFonts w:ascii="Times New Roman" w:hAnsi="Times New Roman" w:cs="Times New Roman"/>
          <w:sz w:val="24"/>
          <w:szCs w:val="24"/>
        </w:rPr>
        <w:t xml:space="preserve">pedestrian walking </w:t>
      </w:r>
      <w:r w:rsidR="00FC6876" w:rsidRPr="00721AE3">
        <w:rPr>
          <w:rFonts w:ascii="Times New Roman" w:hAnsi="Times New Roman" w:cs="Times New Roman"/>
          <w:sz w:val="24"/>
          <w:szCs w:val="24"/>
        </w:rPr>
        <w:t xml:space="preserve">network distance. </w:t>
      </w:r>
      <w:r w:rsidRPr="00721AE3">
        <w:rPr>
          <w:rFonts w:ascii="Times New Roman" w:hAnsi="Times New Roman" w:cs="Times New Roman"/>
          <w:sz w:val="24"/>
          <w:szCs w:val="24"/>
        </w:rPr>
        <w:t xml:space="preserve">Transport </w:t>
      </w:r>
      <w:r w:rsidR="0070142C" w:rsidRPr="00721AE3">
        <w:rPr>
          <w:rFonts w:ascii="Times New Roman" w:hAnsi="Times New Roman" w:cs="Times New Roman"/>
          <w:sz w:val="24"/>
          <w:szCs w:val="24"/>
        </w:rPr>
        <w:t xml:space="preserve">amenities </w:t>
      </w:r>
      <w:r w:rsidR="00DA5AC3" w:rsidRPr="00721AE3">
        <w:rPr>
          <w:rFonts w:ascii="Times New Roman" w:hAnsi="Times New Roman" w:cs="Times New Roman"/>
          <w:sz w:val="24"/>
          <w:szCs w:val="24"/>
        </w:rPr>
        <w:t xml:space="preserve">exhibit distinct service catchments, with bus stops generating highly localized premiums that disappear beyond </w:t>
      </w:r>
      <w:r w:rsidR="00DA5AC3" w:rsidRPr="00721AE3">
        <w:rPr>
          <w:rFonts w:ascii="Times New Roman" w:hAnsi="Times New Roman" w:cs="Times New Roman"/>
          <w:sz w:val="24"/>
          <w:szCs w:val="24"/>
        </w:rPr>
        <w:lastRenderedPageBreak/>
        <w:t>approximately 0.21 km, whereas metro stations remain positively associated with housing prices until approximately 5.5 km</w:t>
      </w:r>
      <w:r w:rsidR="00A763EF" w:rsidRPr="00721AE3">
        <w:rPr>
          <w:rFonts w:ascii="Times New Roman" w:hAnsi="Times New Roman" w:cs="Times New Roman"/>
          <w:sz w:val="24"/>
          <w:szCs w:val="24"/>
        </w:rPr>
        <w:t>.</w:t>
      </w:r>
      <w:r w:rsidR="005C305E" w:rsidRPr="00721AE3">
        <w:rPr>
          <w:rFonts w:ascii="Times New Roman" w:hAnsi="Times New Roman" w:cs="Times New Roman"/>
          <w:sz w:val="24"/>
          <w:szCs w:val="24"/>
        </w:rPr>
        <w:t xml:space="preserve"> </w:t>
      </w:r>
      <w:r w:rsidR="00543FFD" w:rsidRPr="00721AE3">
        <w:rPr>
          <w:rFonts w:ascii="Times New Roman" w:hAnsi="Times New Roman" w:cs="Times New Roman"/>
          <w:sz w:val="24"/>
          <w:szCs w:val="24"/>
        </w:rPr>
        <w:t xml:space="preserve">Healthcare facilities also display differentiated thresholds, with the capitalization effects of clinics and hospitals diminishing beyond approximately </w:t>
      </w:r>
      <w:r w:rsidR="009007AB" w:rsidRPr="00721AE3">
        <w:rPr>
          <w:rFonts w:ascii="Times New Roman" w:hAnsi="Times New Roman" w:cs="Times New Roman"/>
          <w:sz w:val="24"/>
          <w:szCs w:val="24"/>
        </w:rPr>
        <w:t>1.04</w:t>
      </w:r>
      <w:r w:rsidR="00543FFD" w:rsidRPr="00721AE3">
        <w:rPr>
          <w:rFonts w:ascii="Times New Roman" w:hAnsi="Times New Roman" w:cs="Times New Roman"/>
          <w:sz w:val="24"/>
          <w:szCs w:val="24"/>
        </w:rPr>
        <w:t xml:space="preserve"> km and 1.</w:t>
      </w:r>
      <w:r w:rsidR="00513FB1" w:rsidRPr="00721AE3">
        <w:rPr>
          <w:rFonts w:ascii="Times New Roman" w:hAnsi="Times New Roman" w:cs="Times New Roman"/>
          <w:sz w:val="24"/>
          <w:szCs w:val="24"/>
        </w:rPr>
        <w:t>64</w:t>
      </w:r>
      <w:r w:rsidR="00543FFD" w:rsidRPr="00721AE3">
        <w:rPr>
          <w:rFonts w:ascii="Times New Roman" w:hAnsi="Times New Roman" w:cs="Times New Roman"/>
          <w:sz w:val="24"/>
          <w:szCs w:val="24"/>
        </w:rPr>
        <w:t xml:space="preserve"> km, respectively. Commercial</w:t>
      </w:r>
      <w:r w:rsidR="00F54051" w:rsidRPr="00721AE3">
        <w:rPr>
          <w:rFonts w:ascii="Times New Roman" w:hAnsi="Times New Roman" w:cs="Times New Roman"/>
          <w:sz w:val="24"/>
          <w:szCs w:val="24"/>
        </w:rPr>
        <w:t xml:space="preserve"> and retail</w:t>
      </w:r>
      <w:r w:rsidR="00543FFD" w:rsidRPr="00721AE3">
        <w:rPr>
          <w:rFonts w:ascii="Times New Roman" w:hAnsi="Times New Roman" w:cs="Times New Roman"/>
          <w:sz w:val="24"/>
          <w:szCs w:val="24"/>
        </w:rPr>
        <w:t xml:space="preserve"> amenities exhibit varied </w:t>
      </w:r>
      <w:r w:rsidR="006168A0" w:rsidRPr="00721AE3">
        <w:rPr>
          <w:rFonts w:ascii="Times New Roman" w:hAnsi="Times New Roman" w:cs="Times New Roman"/>
          <w:sz w:val="24"/>
          <w:szCs w:val="24"/>
        </w:rPr>
        <w:t>service catchments</w:t>
      </w:r>
      <w:r w:rsidR="00543FFD" w:rsidRPr="00721AE3">
        <w:rPr>
          <w:rFonts w:ascii="Times New Roman" w:hAnsi="Times New Roman" w:cs="Times New Roman"/>
          <w:sz w:val="24"/>
          <w:szCs w:val="24"/>
        </w:rPr>
        <w:t>, with restaurants, shopping malls, and hotels turning negative at approximately 0.5</w:t>
      </w:r>
      <w:r w:rsidR="00AA73A0" w:rsidRPr="00721AE3">
        <w:rPr>
          <w:rFonts w:ascii="Times New Roman" w:hAnsi="Times New Roman" w:cs="Times New Roman"/>
          <w:sz w:val="24"/>
          <w:szCs w:val="24"/>
        </w:rPr>
        <w:t>2</w:t>
      </w:r>
      <w:r w:rsidR="00543FFD" w:rsidRPr="00721AE3">
        <w:rPr>
          <w:rFonts w:ascii="Times New Roman" w:hAnsi="Times New Roman" w:cs="Times New Roman"/>
          <w:sz w:val="24"/>
          <w:szCs w:val="24"/>
        </w:rPr>
        <w:t xml:space="preserve"> km, </w:t>
      </w:r>
      <w:r w:rsidR="00AA73A0" w:rsidRPr="00721AE3">
        <w:rPr>
          <w:rFonts w:ascii="Times New Roman" w:hAnsi="Times New Roman" w:cs="Times New Roman"/>
          <w:sz w:val="24"/>
          <w:szCs w:val="24"/>
        </w:rPr>
        <w:t>0.9</w:t>
      </w:r>
      <w:r w:rsidR="00543FFD" w:rsidRPr="00721AE3">
        <w:rPr>
          <w:rFonts w:ascii="Times New Roman" w:hAnsi="Times New Roman" w:cs="Times New Roman"/>
          <w:sz w:val="24"/>
          <w:szCs w:val="24"/>
        </w:rPr>
        <w:t xml:space="preserve"> km, and 2.</w:t>
      </w:r>
      <w:r w:rsidR="007479F2" w:rsidRPr="00721AE3">
        <w:rPr>
          <w:rFonts w:ascii="Times New Roman" w:hAnsi="Times New Roman" w:cs="Times New Roman"/>
          <w:sz w:val="24"/>
          <w:szCs w:val="24"/>
        </w:rPr>
        <w:t>64</w:t>
      </w:r>
      <w:r w:rsidR="00543FFD" w:rsidRPr="00721AE3">
        <w:rPr>
          <w:rFonts w:ascii="Times New Roman" w:hAnsi="Times New Roman" w:cs="Times New Roman"/>
          <w:sz w:val="24"/>
          <w:szCs w:val="24"/>
        </w:rPr>
        <w:t xml:space="preserve"> km, respectively.</w:t>
      </w:r>
      <w:r w:rsidR="005C305E" w:rsidRPr="00721AE3">
        <w:rPr>
          <w:rFonts w:ascii="Times New Roman" w:hAnsi="Times New Roman" w:cs="Times New Roman"/>
          <w:sz w:val="24"/>
          <w:szCs w:val="24"/>
        </w:rPr>
        <w:t xml:space="preserve"> Natural and recreational amenities likewise demonstrate amenity-specific patterns, with greenspaces, leisure and sport facilities, and scenic spots exhibiting thresholds of approximately </w:t>
      </w:r>
      <w:r w:rsidR="004F1A3D" w:rsidRPr="00721AE3">
        <w:rPr>
          <w:rFonts w:ascii="Times New Roman" w:hAnsi="Times New Roman" w:cs="Times New Roman"/>
          <w:sz w:val="24"/>
          <w:szCs w:val="24"/>
        </w:rPr>
        <w:t>1.5</w:t>
      </w:r>
      <w:r w:rsidR="005C305E" w:rsidRPr="00721AE3">
        <w:rPr>
          <w:rFonts w:ascii="Times New Roman" w:hAnsi="Times New Roman" w:cs="Times New Roman"/>
          <w:sz w:val="24"/>
          <w:szCs w:val="24"/>
        </w:rPr>
        <w:t xml:space="preserve"> km, 0.</w:t>
      </w:r>
      <w:r w:rsidR="002A0BDB" w:rsidRPr="00721AE3">
        <w:rPr>
          <w:rFonts w:ascii="Times New Roman" w:hAnsi="Times New Roman" w:cs="Times New Roman"/>
          <w:sz w:val="24"/>
          <w:szCs w:val="24"/>
        </w:rPr>
        <w:t>61</w:t>
      </w:r>
      <w:r w:rsidR="005C305E" w:rsidRPr="00721AE3">
        <w:rPr>
          <w:rFonts w:ascii="Times New Roman" w:hAnsi="Times New Roman" w:cs="Times New Roman"/>
          <w:sz w:val="24"/>
          <w:szCs w:val="24"/>
        </w:rPr>
        <w:t xml:space="preserve"> km, and 0.7</w:t>
      </w:r>
      <w:r w:rsidR="002A0BDB" w:rsidRPr="00721AE3">
        <w:rPr>
          <w:rFonts w:ascii="Times New Roman" w:hAnsi="Times New Roman" w:cs="Times New Roman"/>
          <w:sz w:val="24"/>
          <w:szCs w:val="24"/>
        </w:rPr>
        <w:t>2</w:t>
      </w:r>
      <w:r w:rsidR="005C305E" w:rsidRPr="00721AE3">
        <w:rPr>
          <w:rFonts w:ascii="Times New Roman" w:hAnsi="Times New Roman" w:cs="Times New Roman"/>
          <w:sz w:val="24"/>
          <w:szCs w:val="24"/>
        </w:rPr>
        <w:t xml:space="preserve"> km, respectively. Educational facilities display more complex and stage-specific dynamics, with primary schools, universities, and secondary schools remaining positively associated with housing prices until approximately 3.2 km, 4.5 km, and 7.3 km, respectively.</w:t>
      </w:r>
      <w:r w:rsidR="006E7B99" w:rsidRPr="00721AE3">
        <w:rPr>
          <w:rFonts w:ascii="Times New Roman" w:hAnsi="Times New Roman" w:cs="Times New Roman"/>
          <w:sz w:val="24"/>
          <w:szCs w:val="24"/>
        </w:rPr>
        <w:t xml:space="preserve"> </w:t>
      </w:r>
      <w:r w:rsidR="001D6A8C" w:rsidRPr="00721AE3">
        <w:rPr>
          <w:rFonts w:ascii="Times New Roman" w:hAnsi="Times New Roman" w:cs="Times New Roman"/>
          <w:sz w:val="24"/>
          <w:szCs w:val="24"/>
        </w:rPr>
        <w:t>Together, t</w:t>
      </w:r>
      <w:r w:rsidR="0061783E" w:rsidRPr="00721AE3">
        <w:rPr>
          <w:rFonts w:ascii="Times New Roman" w:hAnsi="Times New Roman" w:cs="Times New Roman"/>
          <w:sz w:val="24"/>
          <w:szCs w:val="24"/>
        </w:rPr>
        <w:t xml:space="preserve">hese findings demonstrate that housing prices are shaped by optimal accessibility within amenity-specific service </w:t>
      </w:r>
      <w:r w:rsidR="00287F7B" w:rsidRPr="00721AE3">
        <w:rPr>
          <w:rFonts w:ascii="Times New Roman" w:hAnsi="Times New Roman" w:cs="Times New Roman"/>
          <w:sz w:val="24"/>
          <w:szCs w:val="24"/>
        </w:rPr>
        <w:t>catchments</w:t>
      </w:r>
      <w:r w:rsidR="0061783E" w:rsidRPr="00721AE3">
        <w:rPr>
          <w:rFonts w:ascii="Times New Roman" w:hAnsi="Times New Roman" w:cs="Times New Roman"/>
          <w:sz w:val="24"/>
          <w:szCs w:val="24"/>
        </w:rPr>
        <w:t xml:space="preserve"> rather than by simple geographic proximity </w:t>
      </w:r>
      <w:r w:rsidR="006E7B99" w:rsidRPr="00721AE3">
        <w:rPr>
          <w:rFonts w:ascii="Times New Roman" w:hAnsi="Times New Roman" w:cs="Times New Roman"/>
          <w:sz w:val="24"/>
          <w:szCs w:val="24"/>
        </w:rPr>
        <w:t>or a universal walking threshold.</w:t>
      </w:r>
    </w:p>
    <w:p w14:paraId="1971FBCE" w14:textId="35C541BB" w:rsidR="00B04C1F" w:rsidRPr="00721AE3" w:rsidRDefault="00616EFD" w:rsidP="00636F68">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Beyond identifying amenity-specific thresholds, the findings reveal that urban amenity capitalization is characterized by distinct turning points rather than gradual distance decay. Across most amenity types, positive effects weaken beyond an optimal accessibility range and eventually turn negative, indicating that accessibility benefits are </w:t>
      </w:r>
      <w:r w:rsidR="00C31B30" w:rsidRPr="00721AE3">
        <w:rPr>
          <w:rFonts w:ascii="Times New Roman" w:hAnsi="Times New Roman" w:cs="Times New Roman"/>
          <w:sz w:val="24"/>
          <w:szCs w:val="24"/>
        </w:rPr>
        <w:t xml:space="preserve">progressively </w:t>
      </w:r>
      <w:r w:rsidRPr="00721AE3">
        <w:rPr>
          <w:rFonts w:ascii="Times New Roman" w:hAnsi="Times New Roman" w:cs="Times New Roman"/>
          <w:sz w:val="24"/>
          <w:szCs w:val="24"/>
        </w:rPr>
        <w:t>offset by increasing travel costs and, in some cases, localized externalities associated with intensive urban activity. These threshold-dependent relationships suggest that conventional linear or fixed-band distance specifications may oversimplify the complex spatial processes underlying housing price formation.</w:t>
      </w:r>
    </w:p>
    <w:p w14:paraId="2E4561F0" w14:textId="2852040E" w:rsidR="00D45CEE" w:rsidRPr="00721AE3" w:rsidRDefault="009C24A7" w:rsidP="00D45CEE">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The results provide several practical implications for urban planning and policy design. </w:t>
      </w:r>
      <w:r w:rsidR="00D45CEE" w:rsidRPr="00721AE3">
        <w:rPr>
          <w:rFonts w:ascii="Times New Roman" w:hAnsi="Times New Roman" w:cs="Times New Roman"/>
          <w:sz w:val="24"/>
          <w:szCs w:val="24"/>
        </w:rPr>
        <w:t xml:space="preserve">First, urban amenities should be planned according to their functional service catchments rather than a single accessibility standard. The estimated distance thresholds can serve as practical planning </w:t>
      </w:r>
      <w:r w:rsidR="00D45CEE" w:rsidRPr="00721AE3">
        <w:rPr>
          <w:rFonts w:ascii="Times New Roman" w:hAnsi="Times New Roman" w:cs="Times New Roman"/>
          <w:sz w:val="24"/>
          <w:szCs w:val="24"/>
        </w:rPr>
        <w:lastRenderedPageBreak/>
        <w:t xml:space="preserve">benchmarks for facility </w:t>
      </w:r>
      <w:r w:rsidR="00B95AC2" w:rsidRPr="00721AE3">
        <w:rPr>
          <w:rFonts w:ascii="Times New Roman" w:hAnsi="Times New Roman" w:cs="Times New Roman"/>
          <w:sz w:val="24"/>
          <w:szCs w:val="24"/>
        </w:rPr>
        <w:t>siting</w:t>
      </w:r>
      <w:r w:rsidR="00D45CEE" w:rsidRPr="00721AE3">
        <w:rPr>
          <w:rFonts w:ascii="Times New Roman" w:hAnsi="Times New Roman" w:cs="Times New Roman"/>
          <w:sz w:val="24"/>
          <w:szCs w:val="24"/>
        </w:rPr>
        <w:t xml:space="preserve"> and for evaluating whether existing services are positioned within value-maximizing accessibility ranges. Second, planners should explicitly account for the trade-off between accessibility gains and localized externalities when allocating major transport, healthcare, and commercial facilities. This implies avoiding both excessive clustering, which intensifies congestion and other localized disamenities, and excessive dispersion, which weakens accessibility benefits, thereby supporting more balanced spatial configurations of urban services. </w:t>
      </w:r>
    </w:p>
    <w:p w14:paraId="36CAEDF5" w14:textId="6EFBC093" w:rsidR="00D45CEE" w:rsidRPr="00721AE3" w:rsidRDefault="00D45CEE" w:rsidP="00D45CEE">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Third, the estimated service catchments provide an empirical basis for accessibility-based planning strategies, including transit-oriented development, land value capture, and infrastructure investment prioritization. In particular, the identified distance thresholds offer practical reference ranges for prioritizing investments and evaluating where additional infrastructure </w:t>
      </w:r>
      <w:r w:rsidR="002A15D1" w:rsidRPr="00721AE3">
        <w:rPr>
          <w:rFonts w:ascii="Times New Roman" w:hAnsi="Times New Roman" w:cs="Times New Roman"/>
          <w:sz w:val="24"/>
          <w:szCs w:val="24"/>
        </w:rPr>
        <w:t xml:space="preserve">investment </w:t>
      </w:r>
      <w:r w:rsidRPr="00721AE3">
        <w:rPr>
          <w:rFonts w:ascii="Times New Roman" w:hAnsi="Times New Roman" w:cs="Times New Roman"/>
          <w:sz w:val="24"/>
          <w:szCs w:val="24"/>
        </w:rPr>
        <w:t>is likely to generate the greatest accessibility and housing-value benefits.</w:t>
      </w:r>
    </w:p>
    <w:p w14:paraId="401AF542" w14:textId="6194F88E" w:rsidR="00C30FE3" w:rsidRPr="00721AE3" w:rsidRDefault="00D45CEE" w:rsidP="00033A9B">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More broadly, these findings contribute to ongoing debates on compact-city and "X-minute city" planning by demonstrating that accessibility cannot be represented by a single universal distance or travel-time threshold. Instead, effective accessibility planning should recognize that different urban amenities operate over distinct network-based service catchments that vary according to their functional characteristics and urban context. This supports recent calls for more flexible and context-sensitive accessibility frameworks capable of accommodating spatial heterogeneity across cities and amenity types (Wang et al., 2025; Zhang et al., 2025; Wang et al., 2026)</w:t>
      </w:r>
      <w:r w:rsidR="00ED68F5" w:rsidRPr="00721AE3">
        <w:rPr>
          <w:rFonts w:ascii="Times New Roman" w:hAnsi="Times New Roman" w:cs="Times New Roman"/>
          <w:sz w:val="24"/>
          <w:szCs w:val="24"/>
        </w:rPr>
        <w:t>.</w:t>
      </w:r>
    </w:p>
    <w:p w14:paraId="30E49B4E" w14:textId="6FBDF2C8" w:rsidR="00E32010" w:rsidRPr="00721AE3" w:rsidRDefault="008D032C" w:rsidP="00033A9B">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The following limitations merit acknowledgment. First, the analytical framework does not explicitly model residual spatial dependence or spatial confounding, since SHAP and ALE characterize an already-fitted model rather than modify its underlying specification. Future research could integrate explainable machine learning with spatially explicit models to assess the </w:t>
      </w:r>
      <w:r w:rsidRPr="00721AE3">
        <w:rPr>
          <w:rFonts w:ascii="Times New Roman" w:hAnsi="Times New Roman" w:cs="Times New Roman"/>
          <w:sz w:val="24"/>
          <w:szCs w:val="24"/>
        </w:rPr>
        <w:lastRenderedPageBreak/>
        <w:t>robustness of the estimated distance thresholds. Second, pooling transactions from 2012 to 2020 within a single time-invariant model means that the estimated thresholds represent average relationships over a period characterized by substantial temporal variation in the property market. Time-varying or period-interacted specifications could therefore provide a useful robustness check. Third, the pooled model accounts for property usage through a categorical control but does not allow amenity effects or distance-response functions to vary across property-market segments. Usage-stratified models could therefore provide an important test of whether amenity capitalization patterns differ systematically across property types</w:t>
      </w:r>
      <w:r w:rsidR="00E32010" w:rsidRPr="00721AE3">
        <w:rPr>
          <w:rFonts w:ascii="Times New Roman" w:hAnsi="Times New Roman" w:cs="Times New Roman"/>
          <w:sz w:val="24"/>
          <w:szCs w:val="24"/>
        </w:rPr>
        <w:t>.</w:t>
      </w:r>
    </w:p>
    <w:p w14:paraId="6FF3C2E9" w14:textId="48A22928" w:rsidR="00681A70" w:rsidRPr="00721AE3" w:rsidRDefault="00A44D39" w:rsidP="0073517F">
      <w:pPr>
        <w:spacing w:line="48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Overall, this study </w:t>
      </w:r>
      <w:r w:rsidR="00757B29" w:rsidRPr="00721AE3">
        <w:rPr>
          <w:rFonts w:ascii="Times New Roman" w:hAnsi="Times New Roman" w:cs="Times New Roman"/>
          <w:sz w:val="24"/>
          <w:szCs w:val="24"/>
        </w:rPr>
        <w:t xml:space="preserve">demonstrates that housing price responses to urban amenities are </w:t>
      </w:r>
      <w:r w:rsidR="00865412" w:rsidRPr="00721AE3">
        <w:rPr>
          <w:rFonts w:ascii="Times New Roman" w:hAnsi="Times New Roman" w:cs="Times New Roman"/>
          <w:sz w:val="24"/>
          <w:szCs w:val="24"/>
        </w:rPr>
        <w:t xml:space="preserve">fundamentally </w:t>
      </w:r>
      <w:r w:rsidR="00757B29" w:rsidRPr="00721AE3">
        <w:rPr>
          <w:rFonts w:ascii="Times New Roman" w:hAnsi="Times New Roman" w:cs="Times New Roman"/>
          <w:sz w:val="24"/>
          <w:szCs w:val="24"/>
        </w:rPr>
        <w:t xml:space="preserve">non-linear, amenity-specific, and shaped by network accessibility. By revealing the heterogeneous service catchments through which different amenities influence housing values, the study provides a more nuanced understanding of accessibility capitalization in high-density cities and offers an empirical foundation for evidence-based urban planning. </w:t>
      </w:r>
    </w:p>
    <w:p w14:paraId="421F6144" w14:textId="77777777" w:rsidR="00F04753" w:rsidRPr="00721AE3" w:rsidRDefault="00F04753" w:rsidP="0073517F">
      <w:pPr>
        <w:spacing w:line="480" w:lineRule="auto"/>
        <w:jc w:val="both"/>
        <w:rPr>
          <w:rFonts w:ascii="Times New Roman" w:hAnsi="Times New Roman" w:cs="Times New Roman"/>
          <w:sz w:val="24"/>
          <w:szCs w:val="24"/>
        </w:rPr>
      </w:pPr>
    </w:p>
    <w:p w14:paraId="64AC3D04" w14:textId="3E90D748" w:rsidR="00E920E3" w:rsidRPr="00721AE3" w:rsidRDefault="00E920E3" w:rsidP="00CE2308">
      <w:pPr>
        <w:spacing w:line="360" w:lineRule="auto"/>
        <w:jc w:val="both"/>
        <w:rPr>
          <w:rFonts w:ascii="Times New Roman" w:hAnsi="Times New Roman" w:cs="Times New Roman"/>
          <w:b/>
          <w:bCs/>
          <w:sz w:val="24"/>
          <w:szCs w:val="24"/>
        </w:rPr>
      </w:pPr>
      <w:r w:rsidRPr="00721AE3">
        <w:rPr>
          <w:rFonts w:ascii="Times New Roman" w:hAnsi="Times New Roman" w:cs="Times New Roman"/>
          <w:b/>
          <w:bCs/>
          <w:sz w:val="24"/>
          <w:szCs w:val="24"/>
        </w:rPr>
        <w:t>References</w:t>
      </w:r>
    </w:p>
    <w:p w14:paraId="7969BE42"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Apley, D. W., &amp; Zhu, J. (2020). Visualizing the effects of predictor variables in black box supervised learning models. Journal of the Royal Statistical Society Series B: Statistical Methodology, 82(4), 1059–1086.</w:t>
      </w:r>
    </w:p>
    <w:p w14:paraId="68B4E515"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Black, S. E. (1999). Do better schools matter? Parental valuation of elementary education. The Quarterly Journal of Economics, 114(2), 577–599.</w:t>
      </w:r>
    </w:p>
    <w:p w14:paraId="7EC54140"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Chen, T., &amp; Guestrin, C. (2016). XGBoost: A scalable tree boosting system. In Proceedings of the 22nd ACM SIGKDD International Conference on Knowledge Discovery and Data Mining (pp. 785–794). Association for Computing Machinery.</w:t>
      </w:r>
    </w:p>
    <w:p w14:paraId="7065204B"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lastRenderedPageBreak/>
        <w:t>Chen, Y., Jiao, J., &amp; Farahi, A. (2023). Disparities in affecting factors of housing price: A machine learning approach to the effects of housing status, public transit, and density factors on single-family housing price. Cities, 140, 104432.</w:t>
      </w:r>
    </w:p>
    <w:p w14:paraId="7294DAC0"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Chen, Y., Ye, Y., Liu, X., Yin, C., &amp; Jones, C. A. (2025). Examining the nonlinear and spatial heterogeneity of housing prices in urban Beijing: An application of GeoShapley. Habitat International, 162, 103439.</w:t>
      </w:r>
    </w:p>
    <w:p w14:paraId="5398DB2E"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Dou, M., Gu, Y., &amp; Fan, H. (2023). Incorporating neighborhoods with explainable artificial intelligence for modeling fine-scale housing prices. Applied Geography, 158, 103032.</w:t>
      </w:r>
    </w:p>
    <w:p w14:paraId="2A1D4F0D"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Feng, H., &amp; Lu, M. (2013). School quality and housing prices: Empirical evidence from a natural experiment in Shanghai, China. Journal of Housing Economics, 22(4), 291-307.</w:t>
      </w:r>
    </w:p>
    <w:p w14:paraId="416E694F"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Feng, X., &amp; Humphreys, B. R. (2012). The impact of professional sports facilities on housing values: Evidence from census block group data. City, Culture and Society, 3(3), 189-200.</w:t>
      </w:r>
    </w:p>
    <w:p w14:paraId="43CACF65"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Fotheringham, A. S., Yang, W., &amp; Kang, W. (2017). Multiscale geographically weighted regression (MGWR). Annals of the American Association of Geographers, 107(6), 1247–1265.</w:t>
      </w:r>
    </w:p>
    <w:p w14:paraId="56832B69"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Gibbons, S., &amp; Machin, S. (2008). Valuing school quality, better transport, and lower crime: evidence from house prices. Oxford Review of Economic Policy, 24(1), 99–119.</w:t>
      </w:r>
    </w:p>
    <w:p w14:paraId="01252D32"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Gu, Z., Tang, M., Luo, X., &amp; Feng, J. (2024). Examination of the impacts of hospital accessibility on housing prices: Heterogeneity across attributes, space and price quantiles. Journal of Housing and the Built Environment, 39, 179–200.</w:t>
      </w:r>
    </w:p>
    <w:p w14:paraId="0A4386AC"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Huang, B., Wu, B., &amp; Barry, M. (2010). Geographically and temporally weighted regression for modeling spatio-temporal variation in house prices. International Journal of Geographical Information Science, 24(3), 383–401.</w:t>
      </w:r>
    </w:p>
    <w:p w14:paraId="5B922E1B"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Jang, M., &amp; Kang, C.-D. (2015). Retail accessibility and proximity effects on housing prices in Seoul, Korea: A retail type and housing submarket approach. Habitat International, 49, 516-528.</w:t>
      </w:r>
    </w:p>
    <w:p w14:paraId="11FF9AF0"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Jim, C. Y., &amp; Chen, W. Y. (2006). Impacts of urban environmental elements on residential housing prices in Guangzhou (China). Landscape and Urban Planning, 78(4), 422-434.</w:t>
      </w:r>
    </w:p>
    <w:p w14:paraId="32F1E403" w14:textId="77777777" w:rsidR="00E21B13" w:rsidRPr="00721AE3" w:rsidRDefault="00C45DB9" w:rsidP="00E21B13">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lastRenderedPageBreak/>
        <w:t>Jin, T., Cheng, L., Liu, Z., Cao, J., Huang, H., &amp; Witlox, F. (2022). Nonlinear public transit accessibility effects on housing prices: Heterogeneity across price segments. Transport Policy, 117, 48-59.</w:t>
      </w:r>
    </w:p>
    <w:p w14:paraId="6B05329E" w14:textId="14844FB1" w:rsidR="00783332" w:rsidRPr="00721AE3" w:rsidRDefault="00783332" w:rsidP="00E21B13">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Keeler, Z. T., Stephens, H. M., &amp; Humphreys, B. R. (2021). The amenity value of sports facilities: Evidence from the Staples Center in Los Angeles. Journal of Sports Economics, 22(7), 799–822.</w:t>
      </w:r>
    </w:p>
    <w:p w14:paraId="74AAF24F"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Kholdy, S., Muhtaseb, M., &amp; Yu, W. (2014). Effect of an open-air, mixed-use shopping center on the price of nearby residential properties. Journal of Real Estate Practice and Education, 17(1), 1-18.</w:t>
      </w:r>
    </w:p>
    <w:p w14:paraId="5D1EC6F8"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 xml:space="preserve">Łaszkiewicz, E., Heyman, A., Chen, X., Cimburova, Z., Nowell, M., &amp; Barton, D. N. (2022). Valuing access to urban greenspace using non-linear distance decay in hedonic property pricing. Ecosystem Services, 53, 101394. </w:t>
      </w:r>
    </w:p>
    <w:p w14:paraId="00C4051E"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Lee, H., Han, H., &amp; Pettit, C. (2025). Capturing the distance decay effect of amenities on housing price using explainable artificial intelligence. Applied Geography, 174, 103486.</w:t>
      </w:r>
    </w:p>
    <w:p w14:paraId="7B050E63"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Lee, H., Han, H., Pettit, C., Gao, Q., &amp; Shi, V. (2024). Machine learning approach to residential valuation: A convolutional neural network model for geographic variation. The Annals of Regional Science, 72, 579-599.</w:t>
      </w:r>
    </w:p>
    <w:p w14:paraId="0C05D88A"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Lieske, S. N., van den Nouwelant, R., Han, J. H., &amp; Pettit, C. (2019). A novel hedonic price modelling approach for estimating the impact of transportation infrastructure on property prices. Urban Studies, 58(1), 182-202.</w:t>
      </w:r>
    </w:p>
    <w:p w14:paraId="550A1234" w14:textId="77777777" w:rsidR="007F27A2" w:rsidRPr="00721AE3" w:rsidRDefault="007F27A2"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Liu, D., Kan, Z., Wang, J., Kwan, M.-P., Song, J., &amp; Wei, J. (2025). Using spatially explicit high-granularity 3D geospatial data for quantifying public transport walking accessibility inequality and vulnerability in the x-minute city. Cities, 166, Article 106245.</w:t>
      </w:r>
    </w:p>
    <w:p w14:paraId="7E6948CD" w14:textId="77777777" w:rsidR="007F27A2" w:rsidRPr="00721AE3" w:rsidRDefault="007F27A2"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Liu, D., Kwan, M.-P., &amp; Wang, J. (2024). Developing the 15-Minute City: A comprehensive assessment of the status in Hong Kong. Travel Behaviour and Society, 34, 100666.</w:t>
      </w:r>
    </w:p>
    <w:p w14:paraId="5698E63C"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lastRenderedPageBreak/>
        <w:t>Liu, X., Qiao, R., Wu, Z., Yang, T., Zhang, X., Zhang, X., &amp; Zhu, Z. (2024). Unveiling the spatially varied nonlinear effects of urban built environment on housing prices using an interpretable ensemble learning model. Applied Geography, 173, 103458.</w:t>
      </w:r>
    </w:p>
    <w:p w14:paraId="42C5785E"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Liu, X., Zhu, L., Wang, Z., Zhang, X., Zhang, X., Chen, Z., &amp; Qiao, R. (2026). The effects of urban green infrastructures on the housing market. Habitat International, 167, 103629.</w:t>
      </w:r>
    </w:p>
    <w:p w14:paraId="2CA78F8F"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Liu, Z., Huang, H., Siikamäki, J., &amp; Xu, J. (2024). Area-based hedonic pricing of urban green amenities in Beijing: A spatial piecewise approach. Environmental and Resource Economics, 87, 1223–1248.</w:t>
      </w:r>
    </w:p>
    <w:p w14:paraId="333B1985"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 xml:space="preserve">Lundberg, S. M., Erion, G. G., &amp; Lee, S. I. (2018). Consistent individualized feature attribution for tree ensembles. arXiv. </w:t>
      </w:r>
      <w:hyperlink r:id="rId17" w:history="1">
        <w:r w:rsidRPr="00721AE3">
          <w:rPr>
            <w:rStyle w:val="af4"/>
            <w:rFonts w:ascii="Times New Roman" w:hAnsi="Times New Roman" w:cs="Times New Roman"/>
            <w:color w:val="auto"/>
            <w:sz w:val="24"/>
            <w:szCs w:val="24"/>
          </w:rPr>
          <w:t>https://doi.org/10.48550/arXiv.1802.03888</w:t>
        </w:r>
      </w:hyperlink>
    </w:p>
    <w:p w14:paraId="7D4EE279" w14:textId="77777777" w:rsidR="00C45DB9" w:rsidRPr="00721AE3" w:rsidRDefault="00C45DB9" w:rsidP="00C06F3B">
      <w:pPr>
        <w:spacing w:line="360" w:lineRule="auto"/>
        <w:ind w:left="284" w:hanging="284"/>
        <w:jc w:val="both"/>
      </w:pPr>
      <w:r w:rsidRPr="00721AE3">
        <w:rPr>
          <w:rFonts w:ascii="Times New Roman" w:hAnsi="Times New Roman" w:cs="Times New Roman"/>
          <w:sz w:val="24"/>
          <w:szCs w:val="24"/>
        </w:rPr>
        <w:t xml:space="preserve">Lundberg, S., &amp; Lee, S. (2017). A unified approach to interpreting model predictions. arXiv. </w:t>
      </w:r>
      <w:hyperlink r:id="rId18" w:history="1">
        <w:r w:rsidRPr="00721AE3">
          <w:rPr>
            <w:rStyle w:val="af4"/>
            <w:rFonts w:ascii="Times New Roman" w:hAnsi="Times New Roman" w:cs="Times New Roman"/>
            <w:color w:val="auto"/>
            <w:sz w:val="24"/>
            <w:szCs w:val="24"/>
          </w:rPr>
          <w:t>https://arxiv.org/abs/1705.07874</w:t>
        </w:r>
      </w:hyperlink>
    </w:p>
    <w:p w14:paraId="56533005"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Malpezzi, S. (2002). Hedonic pricing models: A selective and applied review. Housing Economics and Public Policy, 67–89.</w:t>
      </w:r>
    </w:p>
    <w:p w14:paraId="50661797"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Molnar, C. (2021). Interpretable Machine Learning: A Guide for Making Black Box Models Explainable. Lean Publishing.</w:t>
      </w:r>
    </w:p>
    <w:p w14:paraId="77A3EBA5" w14:textId="77777777" w:rsidR="00C45DB9" w:rsidRPr="00721AE3" w:rsidRDefault="00C45DB9" w:rsidP="00C06F3B">
      <w:pPr>
        <w:spacing w:line="360" w:lineRule="auto"/>
        <w:ind w:left="284" w:hanging="284"/>
        <w:jc w:val="both"/>
        <w:rPr>
          <w:rFonts w:ascii="Times New Roman" w:hAnsi="Times New Roman" w:cs="Times New Roman"/>
          <w:sz w:val="24"/>
          <w:szCs w:val="24"/>
        </w:rPr>
      </w:pPr>
      <w:bookmarkStart w:id="4" w:name="_Hlk232690109"/>
      <w:r w:rsidRPr="00721AE3">
        <w:rPr>
          <w:rFonts w:ascii="Times New Roman" w:hAnsi="Times New Roman" w:cs="Times New Roman"/>
          <w:sz w:val="24"/>
          <w:szCs w:val="24"/>
        </w:rPr>
        <w:t>Páez</w:t>
      </w:r>
      <w:bookmarkEnd w:id="4"/>
      <w:r w:rsidRPr="00721AE3">
        <w:rPr>
          <w:rFonts w:ascii="Times New Roman" w:hAnsi="Times New Roman" w:cs="Times New Roman"/>
          <w:sz w:val="24"/>
          <w:szCs w:val="24"/>
        </w:rPr>
        <w:t>, A., Long, F., &amp; Farber, S. (2008). Moving Window Approaches for Hedonic Price Estimation: An Empirical Comparison of Modelling Techniques. Urban Studies, 45(8), 1565–1581.</w:t>
      </w:r>
    </w:p>
    <w:p w14:paraId="66941971"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Peng, T. C., &amp; Chiang, Y. H. (2015). The non-linearity of hospitals’ proximity on property prices: Experiences from Taipei, Taiwan. Journal of Property Research, 32(4), 341–361.</w:t>
      </w:r>
    </w:p>
    <w:p w14:paraId="5AA0F1AB"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Peng, T.-C. (2021). The capitalization of spatial healthcare accessibility into house prices in Taiwan: An application of spatial quantile regression. International Journal of Housing Markets and Analysis, 14(5), 860–893.</w:t>
      </w:r>
    </w:p>
    <w:p w14:paraId="6B64235B"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Rosen, S. (1974). Hedonic Prices and Implicit Markets: Product Differentiation in Pure Competition. Journal of Political Economy, 82(1), 34–55.</w:t>
      </w:r>
    </w:p>
    <w:p w14:paraId="7BAD4C05"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lastRenderedPageBreak/>
        <w:t xml:space="preserve">Seo, K., Salon, D., Kuby, &amp; Golub, A. (2019). Hedonic modeling of commercial property values: Distance decay from the links and nodes of rail and highway infrastructure. Transportation, 46, 859–882. </w:t>
      </w:r>
    </w:p>
    <w:p w14:paraId="46838956" w14:textId="775ED260" w:rsidR="00151CD1" w:rsidRPr="00721AE3" w:rsidRDefault="00151CD1"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Tang, B.-S., Wong, K. K., Tang, K. S., &amp; Wong, S. W. (2021). Walking accessibility to neighbourhood open space in a multi-level urban environment of Hong Kong. Environment and Planning B: Urban Analytics and City Science, 48(5), 1340–1356.</w:t>
      </w:r>
    </w:p>
    <w:p w14:paraId="424A66A9"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Wadu Mesthrige, J., &amp; Maqsood, T. (2022). Transport infrastructure, accessibility, and residential property values: evidence from Hong Kong. Built Environment Project and Asset Management, 12(2), 163-179.</w:t>
      </w:r>
    </w:p>
    <w:p w14:paraId="3B512B33"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Wang, J., Kwan, M.-P., Liu, D., Liu, Y., &amp; Wang, L. (2026). From proximity to equity: Rethinking X-minute-city policies for accessibility equity through a spatial optimization perspective. Journal of Transport Geography, 132, 104581.</w:t>
      </w:r>
    </w:p>
    <w:p w14:paraId="33F31A25"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Wang, J., Kwan, M.-P., Liu, D., Liu, Y., &amp; Wang, Y. (2025). 15-minute city beyond the urban core: Lessons from the urban-suburban disparity in PCR accessibility within the X-minute framework. Transportation Research Part A: Policy and Practice, 198, 104546.</w:t>
      </w:r>
    </w:p>
    <w:p w14:paraId="103ED662"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Wang, J., Kwan, M.-P., Xiu, G., &amp; Deng, F. (2024). A robust method for evaluating the potentials of 15-minute cities: Implications for sustainable urban futures. Geography and Sustainability, 5(4), 597-606.</w:t>
      </w:r>
    </w:p>
    <w:p w14:paraId="55B33861"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 xml:space="preserve">Wen, H., Xiao, Y., &amp; Hui, E. C. M. (2019). Quantile effect of educational facilities on housing price: Do homebuyers of higher-priced housing pay more for educational resources? Cities, 90, 100-112. </w:t>
      </w:r>
    </w:p>
    <w:p w14:paraId="5786C5B7"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Wen, H., Zhang, Y., &amp; Zhang, L. (2014). Do educational facilities affect housing price? An empirical study in Hangzhou, China. Habitat International, 42, 155-163.</w:t>
      </w:r>
    </w:p>
    <w:p w14:paraId="685BED92"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Wu, C., Ren, F., Hu, W., &amp; Du, Q. (2019). Multiscale geographically and temporally weighted regression: Exploring the spatiotemporal determinants of housing prices. International Journal of Geographical Information Science, 33(3), 489–511.</w:t>
      </w:r>
    </w:p>
    <w:p w14:paraId="29B5F00E"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lastRenderedPageBreak/>
        <w:t>Yuan, F., Wei, Y. D., &amp; Wu, J. (2020). Amenity effects of urban facilities on housing prices in China: Accessibility, scarcity, and urban spaces. Cities, 96, 102433.</w:t>
      </w:r>
    </w:p>
    <w:p w14:paraId="43C6FFC9"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Zhang, L., Zhou, J., &amp; Hui, E. C. M. (2020). Which types of shopping malls affect housing prices? From the perspective of spatial accessibility. Habitat International, 96, 102118.</w:t>
      </w:r>
    </w:p>
    <w:p w14:paraId="444F8C6C" w14:textId="77777777" w:rsidR="00C45DB9" w:rsidRPr="00721AE3" w:rsidRDefault="00C45DB9" w:rsidP="00C06F3B">
      <w:pPr>
        <w:spacing w:line="360" w:lineRule="auto"/>
        <w:ind w:left="284" w:hanging="284"/>
        <w:jc w:val="both"/>
        <w:rPr>
          <w:rFonts w:ascii="Times New Roman" w:hAnsi="Times New Roman" w:cs="Times New Roman"/>
          <w:sz w:val="24"/>
          <w:szCs w:val="24"/>
        </w:rPr>
      </w:pPr>
      <w:r w:rsidRPr="00721AE3">
        <w:rPr>
          <w:rFonts w:ascii="Times New Roman" w:hAnsi="Times New Roman" w:cs="Times New Roman"/>
          <w:sz w:val="24"/>
          <w:szCs w:val="24"/>
        </w:rPr>
        <w:t>Zhang, S., Hu, Z., Zhen, F., Kong, Y., &amp; Tong, Z. (2025). Assessing the (in)equality of an x-minute city accounting for human mobility patterns. Transportation Research Part A: Policy and Practice, 192, 104354.</w:t>
      </w:r>
    </w:p>
    <w:p w14:paraId="4CA6B13D" w14:textId="77777777" w:rsidR="003752AA" w:rsidRPr="00721AE3" w:rsidRDefault="003752AA" w:rsidP="00CE2308">
      <w:pPr>
        <w:spacing w:line="360" w:lineRule="auto"/>
        <w:jc w:val="both"/>
        <w:rPr>
          <w:rFonts w:ascii="Times New Roman" w:hAnsi="Times New Roman" w:cs="Times New Roman"/>
          <w:sz w:val="24"/>
          <w:szCs w:val="24"/>
        </w:rPr>
      </w:pPr>
    </w:p>
    <w:p w14:paraId="048D9959" w14:textId="77777777" w:rsidR="003752AA" w:rsidRPr="00721AE3" w:rsidRDefault="003752AA" w:rsidP="00CE2308">
      <w:pPr>
        <w:spacing w:line="360" w:lineRule="auto"/>
        <w:jc w:val="both"/>
        <w:rPr>
          <w:rFonts w:ascii="Times New Roman" w:hAnsi="Times New Roman" w:cs="Times New Roman"/>
          <w:sz w:val="24"/>
          <w:szCs w:val="24"/>
        </w:rPr>
      </w:pPr>
    </w:p>
    <w:p w14:paraId="6704D7BA" w14:textId="77777777" w:rsidR="00F3402A" w:rsidRPr="00721AE3" w:rsidRDefault="00F3402A" w:rsidP="00CE2308">
      <w:pPr>
        <w:spacing w:line="360" w:lineRule="auto"/>
        <w:jc w:val="both"/>
        <w:rPr>
          <w:rFonts w:ascii="Times New Roman" w:hAnsi="Times New Roman" w:cs="Times New Roman"/>
          <w:sz w:val="24"/>
          <w:szCs w:val="24"/>
        </w:rPr>
      </w:pPr>
    </w:p>
    <w:p w14:paraId="1B48A36F" w14:textId="77777777" w:rsidR="00F3402A" w:rsidRPr="00721AE3" w:rsidRDefault="00F3402A" w:rsidP="00CE2308">
      <w:pPr>
        <w:spacing w:line="360" w:lineRule="auto"/>
        <w:jc w:val="both"/>
        <w:rPr>
          <w:rFonts w:ascii="Times New Roman" w:hAnsi="Times New Roman" w:cs="Times New Roman"/>
          <w:sz w:val="24"/>
          <w:szCs w:val="24"/>
        </w:rPr>
      </w:pPr>
    </w:p>
    <w:p w14:paraId="2DE52D1A" w14:textId="77777777" w:rsidR="00F3402A" w:rsidRPr="00721AE3" w:rsidRDefault="00F3402A" w:rsidP="00CE2308">
      <w:pPr>
        <w:spacing w:line="360" w:lineRule="auto"/>
        <w:jc w:val="both"/>
        <w:rPr>
          <w:rFonts w:ascii="Times New Roman" w:hAnsi="Times New Roman" w:cs="Times New Roman"/>
          <w:sz w:val="24"/>
          <w:szCs w:val="24"/>
        </w:rPr>
      </w:pPr>
    </w:p>
    <w:p w14:paraId="757DB75F" w14:textId="77777777" w:rsidR="00F3402A" w:rsidRPr="00721AE3" w:rsidRDefault="00F3402A" w:rsidP="00CE2308">
      <w:pPr>
        <w:spacing w:line="360" w:lineRule="auto"/>
        <w:jc w:val="both"/>
        <w:rPr>
          <w:rFonts w:ascii="Times New Roman" w:hAnsi="Times New Roman" w:cs="Times New Roman"/>
          <w:sz w:val="24"/>
          <w:szCs w:val="24"/>
        </w:rPr>
      </w:pPr>
    </w:p>
    <w:p w14:paraId="248C3585" w14:textId="77777777" w:rsidR="00F3402A" w:rsidRPr="00721AE3" w:rsidRDefault="00F3402A" w:rsidP="00CE2308">
      <w:pPr>
        <w:spacing w:line="360" w:lineRule="auto"/>
        <w:jc w:val="both"/>
        <w:rPr>
          <w:rFonts w:ascii="Times New Roman" w:hAnsi="Times New Roman" w:cs="Times New Roman"/>
          <w:sz w:val="24"/>
          <w:szCs w:val="24"/>
        </w:rPr>
      </w:pPr>
    </w:p>
    <w:p w14:paraId="745DE276" w14:textId="77777777" w:rsidR="00F3402A" w:rsidRPr="00721AE3" w:rsidRDefault="00F3402A" w:rsidP="00CE2308">
      <w:pPr>
        <w:spacing w:line="360" w:lineRule="auto"/>
        <w:jc w:val="both"/>
        <w:rPr>
          <w:rFonts w:ascii="Times New Roman" w:hAnsi="Times New Roman" w:cs="Times New Roman"/>
          <w:sz w:val="24"/>
          <w:szCs w:val="24"/>
        </w:rPr>
      </w:pPr>
    </w:p>
    <w:p w14:paraId="34D5AF0E" w14:textId="77777777" w:rsidR="00F3402A" w:rsidRPr="00721AE3" w:rsidRDefault="00F3402A" w:rsidP="00CE2308">
      <w:pPr>
        <w:spacing w:line="360" w:lineRule="auto"/>
        <w:jc w:val="both"/>
        <w:rPr>
          <w:rFonts w:ascii="Times New Roman" w:hAnsi="Times New Roman" w:cs="Times New Roman"/>
          <w:sz w:val="24"/>
          <w:szCs w:val="24"/>
        </w:rPr>
      </w:pPr>
    </w:p>
    <w:p w14:paraId="284F5E79" w14:textId="77777777" w:rsidR="00AB63AE" w:rsidRPr="00721AE3" w:rsidRDefault="00AB63AE" w:rsidP="00CE2308">
      <w:pPr>
        <w:spacing w:line="360" w:lineRule="auto"/>
        <w:jc w:val="both"/>
        <w:rPr>
          <w:rFonts w:ascii="Times New Roman" w:hAnsi="Times New Roman" w:cs="Times New Roman"/>
          <w:sz w:val="24"/>
          <w:szCs w:val="24"/>
        </w:rPr>
      </w:pPr>
    </w:p>
    <w:p w14:paraId="10533218" w14:textId="77777777" w:rsidR="00AB63AE" w:rsidRPr="00721AE3" w:rsidRDefault="00AB63AE" w:rsidP="00CE2308">
      <w:pPr>
        <w:spacing w:line="360" w:lineRule="auto"/>
        <w:jc w:val="both"/>
        <w:rPr>
          <w:rFonts w:ascii="Times New Roman" w:hAnsi="Times New Roman" w:cs="Times New Roman"/>
          <w:sz w:val="24"/>
          <w:szCs w:val="24"/>
        </w:rPr>
      </w:pPr>
    </w:p>
    <w:p w14:paraId="761E136F" w14:textId="77777777" w:rsidR="00AB63AE" w:rsidRPr="00721AE3" w:rsidRDefault="00AB63AE" w:rsidP="00CE2308">
      <w:pPr>
        <w:spacing w:line="360" w:lineRule="auto"/>
        <w:jc w:val="both"/>
        <w:rPr>
          <w:rFonts w:ascii="Times New Roman" w:hAnsi="Times New Roman" w:cs="Times New Roman"/>
          <w:sz w:val="24"/>
          <w:szCs w:val="24"/>
        </w:rPr>
      </w:pPr>
    </w:p>
    <w:p w14:paraId="2A8464F4" w14:textId="199858A6" w:rsidR="00C06F3B" w:rsidRPr="00721AE3" w:rsidRDefault="0040427D" w:rsidP="00CE2308">
      <w:pPr>
        <w:spacing w:line="360" w:lineRule="auto"/>
        <w:jc w:val="both"/>
        <w:rPr>
          <w:rFonts w:ascii="Times New Roman" w:hAnsi="Times New Roman" w:cs="Times New Roman"/>
          <w:sz w:val="24"/>
          <w:szCs w:val="24"/>
        </w:rPr>
      </w:pPr>
      <w:r w:rsidRPr="00721AE3">
        <w:rPr>
          <w:rFonts w:ascii="Times New Roman" w:hAnsi="Times New Roman" w:cs="Times New Roman"/>
          <w:sz w:val="24"/>
          <w:szCs w:val="24"/>
        </w:rPr>
        <w:t xml:space="preserve">Appendix 1: </w:t>
      </w:r>
      <w:r w:rsidR="00557123" w:rsidRPr="00721AE3">
        <w:rPr>
          <w:rFonts w:ascii="Times New Roman" w:hAnsi="Times New Roman" w:cs="Times New Roman"/>
          <w:sz w:val="24"/>
          <w:szCs w:val="24"/>
        </w:rPr>
        <w:t>Variance Inflation Factor (VIF) values of explanatory variables</w:t>
      </w:r>
    </w:p>
    <w:tbl>
      <w:tblPr>
        <w:tblW w:w="4802" w:type="dxa"/>
        <w:tblLook w:val="04A0" w:firstRow="1" w:lastRow="0" w:firstColumn="1" w:lastColumn="0" w:noHBand="0" w:noVBand="1"/>
      </w:tblPr>
      <w:tblGrid>
        <w:gridCol w:w="3686"/>
        <w:gridCol w:w="1116"/>
      </w:tblGrid>
      <w:tr w:rsidR="00721AE3" w:rsidRPr="00721AE3" w14:paraId="2C07CB7D" w14:textId="77777777" w:rsidTr="003A5E32">
        <w:trPr>
          <w:trHeight w:val="300"/>
        </w:trPr>
        <w:tc>
          <w:tcPr>
            <w:tcW w:w="3686" w:type="dxa"/>
            <w:tcBorders>
              <w:top w:val="single" w:sz="4" w:space="0" w:color="auto"/>
              <w:bottom w:val="single" w:sz="4" w:space="0" w:color="auto"/>
            </w:tcBorders>
            <w:noWrap/>
          </w:tcPr>
          <w:p w14:paraId="54726509" w14:textId="2636947A"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Feature</w:t>
            </w:r>
          </w:p>
        </w:tc>
        <w:tc>
          <w:tcPr>
            <w:tcW w:w="1116" w:type="dxa"/>
            <w:tcBorders>
              <w:top w:val="single" w:sz="4" w:space="0" w:color="auto"/>
              <w:bottom w:val="single" w:sz="4" w:space="0" w:color="auto"/>
            </w:tcBorders>
            <w:noWrap/>
          </w:tcPr>
          <w:p w14:paraId="439AFDCF" w14:textId="201425B7"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VIF</w:t>
            </w:r>
          </w:p>
        </w:tc>
      </w:tr>
      <w:tr w:rsidR="00721AE3" w:rsidRPr="00721AE3" w14:paraId="36905D20" w14:textId="77777777" w:rsidTr="003A5E32">
        <w:trPr>
          <w:trHeight w:val="300"/>
        </w:trPr>
        <w:tc>
          <w:tcPr>
            <w:tcW w:w="3686" w:type="dxa"/>
            <w:tcBorders>
              <w:top w:val="single" w:sz="4" w:space="0" w:color="auto"/>
            </w:tcBorders>
            <w:noWrap/>
          </w:tcPr>
          <w:p w14:paraId="4216335B" w14:textId="4ACF074B" w:rsidR="005048CD" w:rsidRPr="00721AE3" w:rsidRDefault="007E5A48"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Number of living rooms</w:t>
            </w:r>
          </w:p>
        </w:tc>
        <w:tc>
          <w:tcPr>
            <w:tcW w:w="1116" w:type="dxa"/>
            <w:tcBorders>
              <w:top w:val="single" w:sz="4" w:space="0" w:color="auto"/>
            </w:tcBorders>
            <w:noWrap/>
          </w:tcPr>
          <w:p w14:paraId="68BD05B2" w14:textId="16FA4306"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4.9</w:t>
            </w:r>
            <w:r w:rsidR="00EC5850" w:rsidRPr="00721AE3">
              <w:rPr>
                <w:rFonts w:ascii="Times New Roman" w:hAnsi="Times New Roman" w:cs="Times New Roman"/>
                <w:sz w:val="24"/>
                <w:szCs w:val="24"/>
              </w:rPr>
              <w:t>9</w:t>
            </w:r>
          </w:p>
        </w:tc>
      </w:tr>
      <w:tr w:rsidR="00721AE3" w:rsidRPr="00721AE3" w14:paraId="4E0A3854" w14:textId="77777777" w:rsidTr="003A5E32">
        <w:trPr>
          <w:trHeight w:val="300"/>
        </w:trPr>
        <w:tc>
          <w:tcPr>
            <w:tcW w:w="3686" w:type="dxa"/>
            <w:noWrap/>
          </w:tcPr>
          <w:p w14:paraId="5B5157D6" w14:textId="2ACA2DD6" w:rsidR="005048CD" w:rsidRPr="00721AE3" w:rsidRDefault="00650C99"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Number of bedrooms</w:t>
            </w:r>
          </w:p>
        </w:tc>
        <w:tc>
          <w:tcPr>
            <w:tcW w:w="1116" w:type="dxa"/>
            <w:noWrap/>
          </w:tcPr>
          <w:p w14:paraId="5AA383F5" w14:textId="45996D11"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4.89</w:t>
            </w:r>
          </w:p>
        </w:tc>
      </w:tr>
      <w:tr w:rsidR="00721AE3" w:rsidRPr="00721AE3" w14:paraId="181DAF81" w14:textId="77777777" w:rsidTr="003A5E32">
        <w:trPr>
          <w:trHeight w:val="300"/>
        </w:trPr>
        <w:tc>
          <w:tcPr>
            <w:tcW w:w="3686" w:type="dxa"/>
            <w:noWrap/>
          </w:tcPr>
          <w:p w14:paraId="791FBEB0" w14:textId="2F38F156" w:rsidR="005048CD" w:rsidRPr="00721AE3" w:rsidRDefault="00F1471A"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lastRenderedPageBreak/>
              <w:t>Distance to clinic (km)</w:t>
            </w:r>
          </w:p>
        </w:tc>
        <w:tc>
          <w:tcPr>
            <w:tcW w:w="1116" w:type="dxa"/>
            <w:noWrap/>
          </w:tcPr>
          <w:p w14:paraId="51E34D6A" w14:textId="7845BC46"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4.01</w:t>
            </w:r>
          </w:p>
        </w:tc>
      </w:tr>
      <w:tr w:rsidR="00721AE3" w:rsidRPr="00721AE3" w14:paraId="785D07EE" w14:textId="77777777" w:rsidTr="003A5E32">
        <w:trPr>
          <w:trHeight w:val="300"/>
        </w:trPr>
        <w:tc>
          <w:tcPr>
            <w:tcW w:w="3686" w:type="dxa"/>
            <w:noWrap/>
          </w:tcPr>
          <w:p w14:paraId="5D4FDE91" w14:textId="35DE4EFD" w:rsidR="004911A2" w:rsidRPr="00721AE3" w:rsidRDefault="004911A2" w:rsidP="005048CD">
            <w:pPr>
              <w:spacing w:after="0" w:line="360" w:lineRule="auto"/>
              <w:rPr>
                <w:rFonts w:ascii="Times New Roman" w:hAnsi="Times New Roman" w:cs="Times New Roman"/>
                <w:sz w:val="24"/>
                <w:szCs w:val="24"/>
              </w:rPr>
            </w:pPr>
            <w:r w:rsidRPr="00721AE3">
              <w:rPr>
                <w:rFonts w:ascii="Times New Roman" w:hAnsi="Times New Roman" w:cs="Times New Roman"/>
                <w:sz w:val="24"/>
                <w:szCs w:val="24"/>
              </w:rPr>
              <w:t>Distance to leisure/sport (km)</w:t>
            </w:r>
          </w:p>
        </w:tc>
        <w:tc>
          <w:tcPr>
            <w:tcW w:w="1116" w:type="dxa"/>
            <w:noWrap/>
          </w:tcPr>
          <w:p w14:paraId="5C1A4F32" w14:textId="646469EF" w:rsidR="004911A2" w:rsidRPr="00721AE3" w:rsidRDefault="004911A2" w:rsidP="005048CD">
            <w:pPr>
              <w:spacing w:after="0" w:line="360" w:lineRule="auto"/>
              <w:rPr>
                <w:rFonts w:ascii="Times New Roman" w:hAnsi="Times New Roman" w:cs="Times New Roman"/>
                <w:sz w:val="24"/>
                <w:szCs w:val="24"/>
              </w:rPr>
            </w:pPr>
            <w:r w:rsidRPr="00721AE3">
              <w:rPr>
                <w:rFonts w:ascii="Times New Roman" w:hAnsi="Times New Roman" w:cs="Times New Roman"/>
                <w:sz w:val="24"/>
                <w:szCs w:val="24"/>
              </w:rPr>
              <w:t>3.67</w:t>
            </w:r>
          </w:p>
        </w:tc>
      </w:tr>
      <w:tr w:rsidR="00721AE3" w:rsidRPr="00721AE3" w14:paraId="2789DE86" w14:textId="77777777" w:rsidTr="003A5E32">
        <w:trPr>
          <w:trHeight w:val="300"/>
        </w:trPr>
        <w:tc>
          <w:tcPr>
            <w:tcW w:w="3686" w:type="dxa"/>
            <w:noWrap/>
          </w:tcPr>
          <w:p w14:paraId="45E2B317" w14:textId="3DD119CD" w:rsidR="005048CD" w:rsidRPr="00721AE3" w:rsidRDefault="00462003"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restaurant (km)</w:t>
            </w:r>
          </w:p>
        </w:tc>
        <w:tc>
          <w:tcPr>
            <w:tcW w:w="1116" w:type="dxa"/>
            <w:noWrap/>
          </w:tcPr>
          <w:p w14:paraId="24FD6148" w14:textId="000381F6"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3.6</w:t>
            </w:r>
            <w:r w:rsidR="004911A2" w:rsidRPr="00721AE3">
              <w:rPr>
                <w:rFonts w:ascii="Times New Roman" w:hAnsi="Times New Roman" w:cs="Times New Roman"/>
                <w:sz w:val="24"/>
                <w:szCs w:val="24"/>
              </w:rPr>
              <w:t>7</w:t>
            </w:r>
          </w:p>
        </w:tc>
      </w:tr>
      <w:tr w:rsidR="00721AE3" w:rsidRPr="00721AE3" w14:paraId="49E76C0D" w14:textId="77777777" w:rsidTr="003A5E32">
        <w:trPr>
          <w:trHeight w:val="300"/>
        </w:trPr>
        <w:tc>
          <w:tcPr>
            <w:tcW w:w="3686" w:type="dxa"/>
            <w:noWrap/>
          </w:tcPr>
          <w:p w14:paraId="0E0FD4B5" w14:textId="279BD079" w:rsidR="005048CD" w:rsidRPr="00721AE3" w:rsidRDefault="0001520C"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scenic spot (km)</w:t>
            </w:r>
          </w:p>
        </w:tc>
        <w:tc>
          <w:tcPr>
            <w:tcW w:w="1116" w:type="dxa"/>
            <w:noWrap/>
          </w:tcPr>
          <w:p w14:paraId="105FE52B" w14:textId="39612BC8"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3.0</w:t>
            </w:r>
            <w:r w:rsidR="007C2F76" w:rsidRPr="00721AE3">
              <w:rPr>
                <w:rFonts w:ascii="Times New Roman" w:hAnsi="Times New Roman" w:cs="Times New Roman"/>
                <w:sz w:val="24"/>
                <w:szCs w:val="24"/>
              </w:rPr>
              <w:t>8</w:t>
            </w:r>
          </w:p>
        </w:tc>
      </w:tr>
      <w:tr w:rsidR="00721AE3" w:rsidRPr="00721AE3" w14:paraId="6BE83D7F" w14:textId="77777777" w:rsidTr="003A5E32">
        <w:trPr>
          <w:trHeight w:val="300"/>
        </w:trPr>
        <w:tc>
          <w:tcPr>
            <w:tcW w:w="3686" w:type="dxa"/>
            <w:noWrap/>
          </w:tcPr>
          <w:p w14:paraId="4E2908DC" w14:textId="34F9F105" w:rsidR="005048CD" w:rsidRPr="00721AE3" w:rsidRDefault="00DE7C25"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shopping mall (km)</w:t>
            </w:r>
          </w:p>
        </w:tc>
        <w:tc>
          <w:tcPr>
            <w:tcW w:w="1116" w:type="dxa"/>
            <w:noWrap/>
          </w:tcPr>
          <w:p w14:paraId="1745CD78" w14:textId="085A1344"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2.80</w:t>
            </w:r>
          </w:p>
        </w:tc>
      </w:tr>
      <w:tr w:rsidR="00721AE3" w:rsidRPr="00721AE3" w14:paraId="5F1BADF1" w14:textId="77777777" w:rsidTr="003A5E32">
        <w:trPr>
          <w:trHeight w:val="300"/>
        </w:trPr>
        <w:tc>
          <w:tcPr>
            <w:tcW w:w="3686" w:type="dxa"/>
            <w:noWrap/>
          </w:tcPr>
          <w:p w14:paraId="478C2739" w14:textId="632A8E78" w:rsidR="005048CD" w:rsidRPr="00721AE3" w:rsidRDefault="00EC353C"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hospital (km)</w:t>
            </w:r>
          </w:p>
        </w:tc>
        <w:tc>
          <w:tcPr>
            <w:tcW w:w="1116" w:type="dxa"/>
            <w:noWrap/>
          </w:tcPr>
          <w:p w14:paraId="66C999BC" w14:textId="127B46B7"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2.53</w:t>
            </w:r>
          </w:p>
        </w:tc>
      </w:tr>
      <w:tr w:rsidR="00721AE3" w:rsidRPr="00721AE3" w14:paraId="00963E2F" w14:textId="77777777" w:rsidTr="003A5E32">
        <w:trPr>
          <w:trHeight w:val="300"/>
        </w:trPr>
        <w:tc>
          <w:tcPr>
            <w:tcW w:w="3686" w:type="dxa"/>
            <w:noWrap/>
          </w:tcPr>
          <w:p w14:paraId="43ECDEED" w14:textId="52A58DE5" w:rsidR="005048CD" w:rsidRPr="00721AE3" w:rsidRDefault="002C5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primary school (km)</w:t>
            </w:r>
          </w:p>
        </w:tc>
        <w:tc>
          <w:tcPr>
            <w:tcW w:w="1116" w:type="dxa"/>
            <w:noWrap/>
          </w:tcPr>
          <w:p w14:paraId="713104E8" w14:textId="2F0A3F55"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2.01</w:t>
            </w:r>
          </w:p>
        </w:tc>
      </w:tr>
      <w:tr w:rsidR="00721AE3" w:rsidRPr="00721AE3" w14:paraId="7C5F7AD2" w14:textId="77777777" w:rsidTr="003A5E32">
        <w:trPr>
          <w:trHeight w:val="300"/>
        </w:trPr>
        <w:tc>
          <w:tcPr>
            <w:tcW w:w="3686" w:type="dxa"/>
            <w:noWrap/>
          </w:tcPr>
          <w:p w14:paraId="1EDC34F8" w14:textId="3BB930AB" w:rsidR="005048CD" w:rsidRPr="00721AE3" w:rsidRDefault="00B338A9"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secondary school (km)</w:t>
            </w:r>
          </w:p>
        </w:tc>
        <w:tc>
          <w:tcPr>
            <w:tcW w:w="1116" w:type="dxa"/>
            <w:noWrap/>
          </w:tcPr>
          <w:p w14:paraId="00E8C1CD" w14:textId="3703F79D"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1.8</w:t>
            </w:r>
            <w:r w:rsidR="007C2F76" w:rsidRPr="00721AE3">
              <w:rPr>
                <w:rFonts w:ascii="Times New Roman" w:hAnsi="Times New Roman" w:cs="Times New Roman"/>
                <w:sz w:val="24"/>
                <w:szCs w:val="24"/>
              </w:rPr>
              <w:t>2</w:t>
            </w:r>
          </w:p>
        </w:tc>
      </w:tr>
      <w:tr w:rsidR="00721AE3" w:rsidRPr="00721AE3" w14:paraId="7F5CCE37" w14:textId="77777777" w:rsidTr="003A5E32">
        <w:trPr>
          <w:trHeight w:val="300"/>
        </w:trPr>
        <w:tc>
          <w:tcPr>
            <w:tcW w:w="3686" w:type="dxa"/>
            <w:noWrap/>
          </w:tcPr>
          <w:p w14:paraId="75F7CC53" w14:textId="49013FB4" w:rsidR="005048CD" w:rsidRPr="00721AE3" w:rsidRDefault="00D5086B"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university (km)</w:t>
            </w:r>
          </w:p>
        </w:tc>
        <w:tc>
          <w:tcPr>
            <w:tcW w:w="1116" w:type="dxa"/>
            <w:noWrap/>
          </w:tcPr>
          <w:p w14:paraId="3E668DDB" w14:textId="1C96CCC5"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1.80</w:t>
            </w:r>
          </w:p>
        </w:tc>
      </w:tr>
      <w:tr w:rsidR="00721AE3" w:rsidRPr="00721AE3" w14:paraId="1D486551" w14:textId="77777777" w:rsidTr="003A5E32">
        <w:trPr>
          <w:trHeight w:val="300"/>
        </w:trPr>
        <w:tc>
          <w:tcPr>
            <w:tcW w:w="3686" w:type="dxa"/>
            <w:noWrap/>
          </w:tcPr>
          <w:p w14:paraId="26601502" w14:textId="359FB24B" w:rsidR="005048CD" w:rsidRPr="00721AE3" w:rsidRDefault="00965688"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greenspace/park (km)</w:t>
            </w:r>
          </w:p>
        </w:tc>
        <w:tc>
          <w:tcPr>
            <w:tcW w:w="1116" w:type="dxa"/>
            <w:noWrap/>
          </w:tcPr>
          <w:p w14:paraId="4F12BF79" w14:textId="6D2D5089"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w:t>
            </w:r>
            <w:r w:rsidR="007C2F76" w:rsidRPr="00721AE3">
              <w:rPr>
                <w:rFonts w:ascii="Times New Roman" w:hAnsi="Times New Roman" w:cs="Times New Roman"/>
                <w:sz w:val="24"/>
                <w:szCs w:val="24"/>
              </w:rPr>
              <w:t>71</w:t>
            </w:r>
          </w:p>
        </w:tc>
      </w:tr>
      <w:tr w:rsidR="00721AE3" w:rsidRPr="00721AE3" w14:paraId="43B9B73A" w14:textId="77777777" w:rsidTr="003A5E32">
        <w:trPr>
          <w:trHeight w:val="300"/>
        </w:trPr>
        <w:tc>
          <w:tcPr>
            <w:tcW w:w="3686" w:type="dxa"/>
            <w:noWrap/>
          </w:tcPr>
          <w:p w14:paraId="7D639E87" w14:textId="4E53FF4E" w:rsidR="005048CD" w:rsidRPr="00721AE3" w:rsidRDefault="00B80289"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hotel (km)</w:t>
            </w:r>
          </w:p>
        </w:tc>
        <w:tc>
          <w:tcPr>
            <w:tcW w:w="1116" w:type="dxa"/>
            <w:noWrap/>
          </w:tcPr>
          <w:p w14:paraId="71C59388" w14:textId="7BA83E6A"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1.47</w:t>
            </w:r>
          </w:p>
        </w:tc>
      </w:tr>
      <w:tr w:rsidR="00721AE3" w:rsidRPr="00721AE3" w14:paraId="6739C17E" w14:textId="77777777" w:rsidTr="003A5E32">
        <w:trPr>
          <w:trHeight w:val="300"/>
        </w:trPr>
        <w:tc>
          <w:tcPr>
            <w:tcW w:w="3686" w:type="dxa"/>
            <w:noWrap/>
          </w:tcPr>
          <w:p w14:paraId="46B6F86C" w14:textId="06C53CED" w:rsidR="005048CD" w:rsidRPr="00721AE3" w:rsidRDefault="00830302"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metro station (km)</w:t>
            </w:r>
          </w:p>
        </w:tc>
        <w:tc>
          <w:tcPr>
            <w:tcW w:w="1116" w:type="dxa"/>
            <w:noWrap/>
          </w:tcPr>
          <w:p w14:paraId="74652498" w14:textId="4DEE35D5"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1.29</w:t>
            </w:r>
          </w:p>
        </w:tc>
      </w:tr>
      <w:tr w:rsidR="00721AE3" w:rsidRPr="00721AE3" w14:paraId="70E0E871" w14:textId="77777777" w:rsidTr="003A5E32">
        <w:trPr>
          <w:trHeight w:val="300"/>
        </w:trPr>
        <w:tc>
          <w:tcPr>
            <w:tcW w:w="3686" w:type="dxa"/>
            <w:noWrap/>
          </w:tcPr>
          <w:p w14:paraId="2DC0FCBB" w14:textId="5C59FF12" w:rsidR="005048CD" w:rsidRPr="00721AE3" w:rsidRDefault="00422EE6"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Distance to bus stop (km)</w:t>
            </w:r>
          </w:p>
        </w:tc>
        <w:tc>
          <w:tcPr>
            <w:tcW w:w="1116" w:type="dxa"/>
            <w:noWrap/>
          </w:tcPr>
          <w:p w14:paraId="5FAC525F" w14:textId="361EA23C"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1.26</w:t>
            </w:r>
          </w:p>
        </w:tc>
      </w:tr>
      <w:tr w:rsidR="00721AE3" w:rsidRPr="00721AE3" w14:paraId="403D8313" w14:textId="77777777" w:rsidTr="003A5E32">
        <w:trPr>
          <w:trHeight w:val="300"/>
        </w:trPr>
        <w:tc>
          <w:tcPr>
            <w:tcW w:w="3686" w:type="dxa"/>
            <w:noWrap/>
          </w:tcPr>
          <w:p w14:paraId="7F422065" w14:textId="3A2D0E90" w:rsidR="005048CD" w:rsidRPr="00721AE3" w:rsidRDefault="00422EE6"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P</w:t>
            </w:r>
            <w:r w:rsidR="005048CD" w:rsidRPr="00721AE3">
              <w:rPr>
                <w:rFonts w:ascii="Times New Roman" w:hAnsi="Times New Roman" w:cs="Times New Roman"/>
                <w:sz w:val="24"/>
                <w:szCs w:val="24"/>
              </w:rPr>
              <w:t>roperty</w:t>
            </w:r>
            <w:r w:rsidRPr="00721AE3">
              <w:rPr>
                <w:rFonts w:ascii="Times New Roman" w:hAnsi="Times New Roman" w:cs="Times New Roman"/>
                <w:sz w:val="24"/>
                <w:szCs w:val="24"/>
              </w:rPr>
              <w:t xml:space="preserve"> </w:t>
            </w:r>
            <w:r w:rsidR="005048CD" w:rsidRPr="00721AE3">
              <w:rPr>
                <w:rFonts w:ascii="Times New Roman" w:hAnsi="Times New Roman" w:cs="Times New Roman"/>
                <w:sz w:val="24"/>
                <w:szCs w:val="24"/>
              </w:rPr>
              <w:t>usage_Industrial</w:t>
            </w:r>
          </w:p>
        </w:tc>
        <w:tc>
          <w:tcPr>
            <w:tcW w:w="1116" w:type="dxa"/>
            <w:noWrap/>
          </w:tcPr>
          <w:p w14:paraId="26E1D1E2" w14:textId="25F0F691"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1.24</w:t>
            </w:r>
          </w:p>
        </w:tc>
      </w:tr>
      <w:tr w:rsidR="00721AE3" w:rsidRPr="00721AE3" w14:paraId="5DEB77B2" w14:textId="77777777" w:rsidTr="003A5E32">
        <w:trPr>
          <w:trHeight w:val="300"/>
        </w:trPr>
        <w:tc>
          <w:tcPr>
            <w:tcW w:w="3686" w:type="dxa"/>
            <w:noWrap/>
          </w:tcPr>
          <w:p w14:paraId="1559BD86" w14:textId="1F027AC6" w:rsidR="005048CD" w:rsidRPr="00721AE3" w:rsidRDefault="00422EE6"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P</w:t>
            </w:r>
            <w:r w:rsidR="005048CD" w:rsidRPr="00721AE3">
              <w:rPr>
                <w:rFonts w:ascii="Times New Roman" w:hAnsi="Times New Roman" w:cs="Times New Roman"/>
                <w:sz w:val="24"/>
                <w:szCs w:val="24"/>
              </w:rPr>
              <w:t>roperty</w:t>
            </w:r>
            <w:r w:rsidRPr="00721AE3">
              <w:rPr>
                <w:rFonts w:ascii="Times New Roman" w:hAnsi="Times New Roman" w:cs="Times New Roman"/>
                <w:sz w:val="24"/>
                <w:szCs w:val="24"/>
              </w:rPr>
              <w:t xml:space="preserve"> </w:t>
            </w:r>
            <w:r w:rsidR="005048CD" w:rsidRPr="00721AE3">
              <w:rPr>
                <w:rFonts w:ascii="Times New Roman" w:hAnsi="Times New Roman" w:cs="Times New Roman"/>
                <w:sz w:val="24"/>
                <w:szCs w:val="24"/>
              </w:rPr>
              <w:t>usage_Office</w:t>
            </w:r>
          </w:p>
        </w:tc>
        <w:tc>
          <w:tcPr>
            <w:tcW w:w="1116" w:type="dxa"/>
            <w:noWrap/>
          </w:tcPr>
          <w:p w14:paraId="2EC886E3" w14:textId="4F3BA8DF"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1.12</w:t>
            </w:r>
          </w:p>
        </w:tc>
      </w:tr>
      <w:tr w:rsidR="00721AE3" w:rsidRPr="00721AE3" w14:paraId="2C2320A9" w14:textId="77777777" w:rsidTr="003A5E32">
        <w:trPr>
          <w:trHeight w:val="300"/>
        </w:trPr>
        <w:tc>
          <w:tcPr>
            <w:tcW w:w="3686" w:type="dxa"/>
            <w:tcBorders>
              <w:bottom w:val="single" w:sz="4" w:space="0" w:color="auto"/>
            </w:tcBorders>
            <w:noWrap/>
          </w:tcPr>
          <w:p w14:paraId="12DA3DAE" w14:textId="3B9EF969" w:rsidR="005048CD" w:rsidRPr="00721AE3" w:rsidRDefault="00422EE6"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P</w:t>
            </w:r>
            <w:r w:rsidR="005048CD" w:rsidRPr="00721AE3">
              <w:rPr>
                <w:rFonts w:ascii="Times New Roman" w:hAnsi="Times New Roman" w:cs="Times New Roman"/>
                <w:sz w:val="24"/>
                <w:szCs w:val="24"/>
              </w:rPr>
              <w:t>roperty</w:t>
            </w:r>
            <w:r w:rsidRPr="00721AE3">
              <w:rPr>
                <w:rFonts w:ascii="Times New Roman" w:hAnsi="Times New Roman" w:cs="Times New Roman"/>
                <w:sz w:val="24"/>
                <w:szCs w:val="24"/>
              </w:rPr>
              <w:t xml:space="preserve"> </w:t>
            </w:r>
            <w:r w:rsidR="005048CD" w:rsidRPr="00721AE3">
              <w:rPr>
                <w:rFonts w:ascii="Times New Roman" w:hAnsi="Times New Roman" w:cs="Times New Roman"/>
                <w:sz w:val="24"/>
                <w:szCs w:val="24"/>
              </w:rPr>
              <w:t>usage_Commercial</w:t>
            </w:r>
          </w:p>
        </w:tc>
        <w:tc>
          <w:tcPr>
            <w:tcW w:w="1116" w:type="dxa"/>
            <w:tcBorders>
              <w:bottom w:val="single" w:sz="4" w:space="0" w:color="auto"/>
            </w:tcBorders>
            <w:noWrap/>
          </w:tcPr>
          <w:p w14:paraId="597D0484" w14:textId="7185DDC7" w:rsidR="005048CD" w:rsidRPr="00721AE3" w:rsidRDefault="005048CD" w:rsidP="005048CD">
            <w:pPr>
              <w:spacing w:after="0" w:line="360" w:lineRule="auto"/>
              <w:rPr>
                <w:rFonts w:ascii="Times New Roman" w:eastAsia="等线" w:hAnsi="Times New Roman" w:cs="Times New Roman"/>
                <w:sz w:val="24"/>
                <w:szCs w:val="24"/>
                <w:lang w:eastAsia="zh-CN"/>
              </w:rPr>
            </w:pPr>
            <w:r w:rsidRPr="00721AE3">
              <w:rPr>
                <w:rFonts w:ascii="Times New Roman" w:hAnsi="Times New Roman" w:cs="Times New Roman"/>
                <w:sz w:val="24"/>
                <w:szCs w:val="24"/>
              </w:rPr>
              <w:t>1.03</w:t>
            </w:r>
          </w:p>
        </w:tc>
      </w:tr>
      <w:tr w:rsidR="005048CD" w:rsidRPr="00721AE3" w14:paraId="746DADF7" w14:textId="77777777" w:rsidTr="003A5E32">
        <w:trPr>
          <w:trHeight w:val="271"/>
        </w:trPr>
        <w:tc>
          <w:tcPr>
            <w:tcW w:w="3686" w:type="dxa"/>
            <w:tcBorders>
              <w:top w:val="single" w:sz="4" w:space="0" w:color="auto"/>
              <w:bottom w:val="single" w:sz="4" w:space="0" w:color="auto"/>
            </w:tcBorders>
            <w:noWrap/>
          </w:tcPr>
          <w:p w14:paraId="5AA8ABAA" w14:textId="2E85243B" w:rsidR="005048CD" w:rsidRPr="00721AE3" w:rsidRDefault="005048CD" w:rsidP="005048CD">
            <w:pPr>
              <w:spacing w:after="0"/>
              <w:rPr>
                <w:rFonts w:ascii="Times New Roman" w:eastAsia="等线" w:hAnsi="Times New Roman" w:cs="Times New Roman"/>
                <w:sz w:val="24"/>
                <w:szCs w:val="24"/>
                <w:lang w:eastAsia="zh-CN"/>
              </w:rPr>
            </w:pPr>
            <w:r w:rsidRPr="00721AE3">
              <w:rPr>
                <w:rFonts w:ascii="Times New Roman" w:hAnsi="Times New Roman" w:cs="Times New Roman"/>
                <w:sz w:val="24"/>
                <w:szCs w:val="24"/>
              </w:rPr>
              <w:t>Mean VIF</w:t>
            </w:r>
          </w:p>
        </w:tc>
        <w:tc>
          <w:tcPr>
            <w:tcW w:w="1116" w:type="dxa"/>
            <w:tcBorders>
              <w:top w:val="single" w:sz="4" w:space="0" w:color="auto"/>
              <w:bottom w:val="single" w:sz="4" w:space="0" w:color="auto"/>
            </w:tcBorders>
            <w:noWrap/>
          </w:tcPr>
          <w:p w14:paraId="13CE8269" w14:textId="44A72B7F" w:rsidR="005048CD" w:rsidRPr="00721AE3" w:rsidRDefault="005048CD" w:rsidP="005048CD">
            <w:pPr>
              <w:spacing w:after="0"/>
              <w:rPr>
                <w:rFonts w:ascii="Times New Roman" w:eastAsia="等线" w:hAnsi="Times New Roman" w:cs="Times New Roman"/>
                <w:sz w:val="24"/>
                <w:szCs w:val="24"/>
                <w:lang w:eastAsia="zh-CN"/>
              </w:rPr>
            </w:pPr>
            <w:r w:rsidRPr="00721AE3">
              <w:rPr>
                <w:rFonts w:ascii="Times New Roman" w:hAnsi="Times New Roman" w:cs="Times New Roman"/>
                <w:sz w:val="24"/>
                <w:szCs w:val="24"/>
              </w:rPr>
              <w:t>2.4</w:t>
            </w:r>
            <w:r w:rsidR="00EB20CD" w:rsidRPr="00721AE3">
              <w:rPr>
                <w:rFonts w:ascii="Times New Roman" w:hAnsi="Times New Roman" w:cs="Times New Roman"/>
                <w:sz w:val="24"/>
                <w:szCs w:val="24"/>
              </w:rPr>
              <w:t>7</w:t>
            </w:r>
          </w:p>
        </w:tc>
      </w:tr>
    </w:tbl>
    <w:p w14:paraId="0D30AAE3" w14:textId="77777777" w:rsidR="00C06F3B" w:rsidRPr="00721AE3" w:rsidRDefault="00C06F3B" w:rsidP="00CE2308">
      <w:pPr>
        <w:spacing w:line="360" w:lineRule="auto"/>
        <w:jc w:val="both"/>
        <w:rPr>
          <w:rFonts w:ascii="Times New Roman" w:hAnsi="Times New Roman" w:cs="Times New Roman"/>
          <w:sz w:val="24"/>
          <w:szCs w:val="24"/>
        </w:rPr>
      </w:pPr>
    </w:p>
    <w:p w14:paraId="692A0EB0" w14:textId="77777777" w:rsidR="00D91586" w:rsidRPr="00721AE3" w:rsidRDefault="00D91586" w:rsidP="00CE2308">
      <w:pPr>
        <w:spacing w:line="360" w:lineRule="auto"/>
        <w:jc w:val="both"/>
        <w:rPr>
          <w:rFonts w:ascii="Times New Roman" w:hAnsi="Times New Roman" w:cs="Times New Roman"/>
          <w:sz w:val="24"/>
          <w:szCs w:val="24"/>
        </w:rPr>
      </w:pPr>
    </w:p>
    <w:p w14:paraId="23A39119" w14:textId="77777777" w:rsidR="00D91586" w:rsidRPr="00721AE3" w:rsidRDefault="00D91586" w:rsidP="00CE2308">
      <w:pPr>
        <w:spacing w:line="360" w:lineRule="auto"/>
        <w:jc w:val="both"/>
        <w:rPr>
          <w:rFonts w:ascii="Times New Roman" w:hAnsi="Times New Roman" w:cs="Times New Roman"/>
          <w:sz w:val="24"/>
          <w:szCs w:val="24"/>
        </w:rPr>
      </w:pPr>
    </w:p>
    <w:p w14:paraId="4EEBB253" w14:textId="77777777" w:rsidR="00D91586" w:rsidRPr="00721AE3" w:rsidRDefault="00D91586" w:rsidP="00CE2308">
      <w:pPr>
        <w:spacing w:line="360" w:lineRule="auto"/>
        <w:jc w:val="both"/>
        <w:rPr>
          <w:rFonts w:ascii="Times New Roman" w:hAnsi="Times New Roman" w:cs="Times New Roman"/>
          <w:sz w:val="24"/>
          <w:szCs w:val="24"/>
        </w:rPr>
      </w:pPr>
    </w:p>
    <w:p w14:paraId="5988EADF" w14:textId="77777777" w:rsidR="00D91586" w:rsidRPr="00721AE3" w:rsidRDefault="00D91586" w:rsidP="00CE2308">
      <w:pPr>
        <w:spacing w:line="360" w:lineRule="auto"/>
        <w:jc w:val="both"/>
        <w:rPr>
          <w:rFonts w:ascii="Times New Roman" w:hAnsi="Times New Roman" w:cs="Times New Roman"/>
          <w:sz w:val="24"/>
          <w:szCs w:val="24"/>
        </w:rPr>
      </w:pPr>
    </w:p>
    <w:p w14:paraId="48E88A86" w14:textId="77777777" w:rsidR="00D91586" w:rsidRPr="00721AE3" w:rsidRDefault="00D91586" w:rsidP="00CE2308">
      <w:pPr>
        <w:spacing w:line="360" w:lineRule="auto"/>
        <w:jc w:val="both"/>
        <w:rPr>
          <w:rFonts w:ascii="Times New Roman" w:hAnsi="Times New Roman" w:cs="Times New Roman"/>
          <w:sz w:val="24"/>
          <w:szCs w:val="24"/>
        </w:rPr>
      </w:pPr>
    </w:p>
    <w:p w14:paraId="48D91B9E" w14:textId="77777777" w:rsidR="00D91586" w:rsidRPr="00721AE3" w:rsidRDefault="00D91586" w:rsidP="00CE2308">
      <w:pPr>
        <w:spacing w:line="360" w:lineRule="auto"/>
        <w:jc w:val="both"/>
        <w:rPr>
          <w:rFonts w:ascii="Times New Roman" w:hAnsi="Times New Roman" w:cs="Times New Roman"/>
          <w:sz w:val="24"/>
          <w:szCs w:val="24"/>
        </w:rPr>
      </w:pPr>
    </w:p>
    <w:p w14:paraId="3E63A651" w14:textId="0841A5C1" w:rsidR="00E920E3" w:rsidRPr="00721AE3" w:rsidRDefault="00EB7F78" w:rsidP="00CE2308">
      <w:pPr>
        <w:spacing w:line="360" w:lineRule="auto"/>
        <w:jc w:val="both"/>
        <w:rPr>
          <w:rFonts w:ascii="Times New Roman" w:hAnsi="Times New Roman" w:cs="Times New Roman"/>
          <w:sz w:val="24"/>
          <w:szCs w:val="24"/>
        </w:rPr>
      </w:pPr>
      <w:r w:rsidRPr="00721AE3">
        <w:rPr>
          <w:noProof/>
        </w:rPr>
        <w:drawing>
          <wp:anchor distT="0" distB="0" distL="114300" distR="114300" simplePos="0" relativeHeight="251661312" behindDoc="1" locked="0" layoutInCell="1" allowOverlap="1" wp14:anchorId="06E1973A" wp14:editId="0DE4E2D6">
            <wp:simplePos x="0" y="0"/>
            <wp:positionH relativeFrom="margin">
              <wp:align>right</wp:align>
            </wp:positionH>
            <wp:positionV relativeFrom="paragraph">
              <wp:posOffset>299796</wp:posOffset>
            </wp:positionV>
            <wp:extent cx="5943600" cy="4944745"/>
            <wp:effectExtent l="0" t="0" r="0" b="8255"/>
            <wp:wrapNone/>
            <wp:docPr id="194760142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01423" name="Picture 1" descr="A screenshot of a computer&#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944745"/>
                    </a:xfrm>
                    <a:prstGeom prst="rect">
                      <a:avLst/>
                    </a:prstGeom>
                    <a:noFill/>
                    <a:ln>
                      <a:noFill/>
                    </a:ln>
                  </pic:spPr>
                </pic:pic>
              </a:graphicData>
            </a:graphic>
          </wp:anchor>
        </w:drawing>
      </w:r>
      <w:r w:rsidR="000031F8" w:rsidRPr="00721AE3">
        <w:rPr>
          <w:rFonts w:ascii="Times New Roman" w:hAnsi="Times New Roman" w:cs="Times New Roman"/>
          <w:sz w:val="24"/>
          <w:szCs w:val="24"/>
        </w:rPr>
        <w:t xml:space="preserve">Appendix </w:t>
      </w:r>
      <w:r w:rsidR="0040427D" w:rsidRPr="00721AE3">
        <w:rPr>
          <w:rFonts w:ascii="Times New Roman" w:hAnsi="Times New Roman" w:cs="Times New Roman"/>
          <w:sz w:val="24"/>
          <w:szCs w:val="24"/>
        </w:rPr>
        <w:t>2</w:t>
      </w:r>
      <w:r w:rsidR="000031F8" w:rsidRPr="00721AE3">
        <w:rPr>
          <w:rFonts w:ascii="Times New Roman" w:hAnsi="Times New Roman" w:cs="Times New Roman"/>
          <w:sz w:val="24"/>
          <w:szCs w:val="24"/>
        </w:rPr>
        <w:t>: G</w:t>
      </w:r>
      <w:r w:rsidR="00663C99" w:rsidRPr="00721AE3">
        <w:rPr>
          <w:rFonts w:ascii="Times New Roman" w:hAnsi="Times New Roman" w:cs="Times New Roman"/>
          <w:sz w:val="24"/>
          <w:szCs w:val="24"/>
        </w:rPr>
        <w:t>lobal feature importance (XGBoost)</w:t>
      </w:r>
    </w:p>
    <w:p w14:paraId="17733E80" w14:textId="32A893FA" w:rsidR="00BF607F" w:rsidRPr="00721AE3" w:rsidRDefault="00BF607F" w:rsidP="00BF607F">
      <w:pPr>
        <w:pStyle w:val="af8"/>
      </w:pPr>
    </w:p>
    <w:p w14:paraId="24AA2E4D" w14:textId="79E7DE6E" w:rsidR="00D91586" w:rsidRPr="00721AE3" w:rsidRDefault="00D91586" w:rsidP="00D91586">
      <w:pPr>
        <w:pStyle w:val="af8"/>
      </w:pPr>
    </w:p>
    <w:p w14:paraId="5043ACEA" w14:textId="626F8342" w:rsidR="00663C99" w:rsidRPr="00721AE3" w:rsidRDefault="00663C99" w:rsidP="00CE2308">
      <w:pPr>
        <w:spacing w:line="360" w:lineRule="auto"/>
        <w:jc w:val="both"/>
        <w:rPr>
          <w:rFonts w:ascii="Times New Roman" w:hAnsi="Times New Roman" w:cs="Times New Roman"/>
          <w:sz w:val="24"/>
          <w:szCs w:val="24"/>
        </w:rPr>
      </w:pPr>
    </w:p>
    <w:p w14:paraId="0EA436FA" w14:textId="77777777" w:rsidR="00E920E3" w:rsidRPr="00721AE3" w:rsidRDefault="00E920E3" w:rsidP="00CE2308">
      <w:pPr>
        <w:spacing w:line="360" w:lineRule="auto"/>
        <w:jc w:val="both"/>
        <w:rPr>
          <w:rFonts w:ascii="Times New Roman" w:hAnsi="Times New Roman" w:cs="Times New Roman"/>
          <w:sz w:val="24"/>
          <w:szCs w:val="24"/>
        </w:rPr>
      </w:pPr>
    </w:p>
    <w:p w14:paraId="6B0058E2" w14:textId="77777777" w:rsidR="00E920E3" w:rsidRPr="00721AE3" w:rsidRDefault="00E920E3" w:rsidP="00CE2308">
      <w:pPr>
        <w:spacing w:line="360" w:lineRule="auto"/>
        <w:jc w:val="both"/>
        <w:rPr>
          <w:rFonts w:ascii="Times New Roman" w:hAnsi="Times New Roman" w:cs="Times New Roman"/>
          <w:sz w:val="24"/>
          <w:szCs w:val="24"/>
        </w:rPr>
      </w:pPr>
    </w:p>
    <w:p w14:paraId="2547056D" w14:textId="77777777" w:rsidR="0040492F" w:rsidRPr="00721AE3" w:rsidRDefault="0040492F" w:rsidP="00CE2308">
      <w:pPr>
        <w:spacing w:line="360" w:lineRule="auto"/>
        <w:jc w:val="both"/>
        <w:rPr>
          <w:rFonts w:ascii="Times New Roman" w:hAnsi="Times New Roman" w:cs="Times New Roman"/>
          <w:sz w:val="24"/>
          <w:szCs w:val="24"/>
        </w:rPr>
      </w:pPr>
    </w:p>
    <w:sectPr w:rsidR="0040492F" w:rsidRPr="00721AE3" w:rsidSect="00E70941">
      <w:headerReference w:type="default" r:id="rId20"/>
      <w:footerReference w:type="default" r:id="rId2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2C4AC" w14:textId="77777777" w:rsidR="0011789D" w:rsidRDefault="0011789D" w:rsidP="00BA06E8">
      <w:pPr>
        <w:spacing w:after="0" w:line="240" w:lineRule="auto"/>
      </w:pPr>
      <w:r>
        <w:separator/>
      </w:r>
    </w:p>
  </w:endnote>
  <w:endnote w:type="continuationSeparator" w:id="0">
    <w:p w14:paraId="5792AC4E" w14:textId="77777777" w:rsidR="0011789D" w:rsidRDefault="0011789D" w:rsidP="00BA0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133271"/>
      <w:docPartObj>
        <w:docPartGallery w:val="Page Numbers (Bottom of Page)"/>
        <w:docPartUnique/>
      </w:docPartObj>
    </w:sdtPr>
    <w:sdtEndPr>
      <w:rPr>
        <w:rFonts w:ascii="Times New Roman" w:hAnsi="Times New Roman" w:cs="Times New Roman"/>
        <w:noProof/>
      </w:rPr>
    </w:sdtEndPr>
    <w:sdtContent>
      <w:p w14:paraId="10FD6235" w14:textId="78B76B39" w:rsidR="00BA06E8" w:rsidRPr="00BA06E8" w:rsidRDefault="00BA06E8">
        <w:pPr>
          <w:pStyle w:val="af2"/>
          <w:jc w:val="center"/>
          <w:rPr>
            <w:rFonts w:ascii="Times New Roman" w:hAnsi="Times New Roman" w:cs="Times New Roman"/>
          </w:rPr>
        </w:pPr>
        <w:r w:rsidRPr="00BA06E8">
          <w:rPr>
            <w:rFonts w:ascii="Times New Roman" w:hAnsi="Times New Roman" w:cs="Times New Roman"/>
          </w:rPr>
          <w:fldChar w:fldCharType="begin"/>
        </w:r>
        <w:r w:rsidRPr="00BA06E8">
          <w:rPr>
            <w:rFonts w:ascii="Times New Roman" w:hAnsi="Times New Roman" w:cs="Times New Roman"/>
          </w:rPr>
          <w:instrText xml:space="preserve"> PAGE   \* MERGEFORMAT </w:instrText>
        </w:r>
        <w:r w:rsidRPr="00BA06E8">
          <w:rPr>
            <w:rFonts w:ascii="Times New Roman" w:hAnsi="Times New Roman" w:cs="Times New Roman"/>
          </w:rPr>
          <w:fldChar w:fldCharType="separate"/>
        </w:r>
        <w:r w:rsidRPr="00BA06E8">
          <w:rPr>
            <w:rFonts w:ascii="Times New Roman" w:hAnsi="Times New Roman" w:cs="Times New Roman"/>
            <w:noProof/>
          </w:rPr>
          <w:t>2</w:t>
        </w:r>
        <w:r w:rsidRPr="00BA06E8">
          <w:rPr>
            <w:rFonts w:ascii="Times New Roman" w:hAnsi="Times New Roman" w:cs="Times New Roman"/>
            <w:noProof/>
          </w:rPr>
          <w:fldChar w:fldCharType="end"/>
        </w:r>
      </w:p>
    </w:sdtContent>
  </w:sdt>
  <w:p w14:paraId="5CAA3FEF" w14:textId="77777777" w:rsidR="00BA06E8" w:rsidRDefault="00BA06E8">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7CCC3" w14:textId="77777777" w:rsidR="0011789D" w:rsidRDefault="0011789D" w:rsidP="00BA06E8">
      <w:pPr>
        <w:spacing w:after="0" w:line="240" w:lineRule="auto"/>
      </w:pPr>
      <w:r>
        <w:separator/>
      </w:r>
    </w:p>
  </w:footnote>
  <w:footnote w:type="continuationSeparator" w:id="0">
    <w:p w14:paraId="7D1CFC5C" w14:textId="77777777" w:rsidR="0011789D" w:rsidRDefault="0011789D" w:rsidP="00BA0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68BA" w14:textId="58544EFB" w:rsidR="00FB0981" w:rsidRDefault="00FB0981" w:rsidP="00FB0981">
    <w:pPr>
      <w:pStyle w:val="af0"/>
      <w:jc w:val="center"/>
    </w:pPr>
    <w:r w:rsidRPr="00FB0981">
      <w:t>This is an author-produced, peer-reviewed version of this article</w:t>
    </w:r>
  </w:p>
  <w:p w14:paraId="573AB971" w14:textId="77777777" w:rsidR="00FB0981" w:rsidRDefault="00FB0981">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A6378"/>
    <w:multiLevelType w:val="multilevel"/>
    <w:tmpl w:val="D7AEB24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70881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yNDC3MLY0NzQ3NrBQ0lEKTi0uzszPAykwM68FAA8hgoAtAAAA"/>
  </w:docVars>
  <w:rsids>
    <w:rsidRoot w:val="00712B2E"/>
    <w:rsid w:val="00000431"/>
    <w:rsid w:val="00001239"/>
    <w:rsid w:val="000031F8"/>
    <w:rsid w:val="0000331D"/>
    <w:rsid w:val="00003AFE"/>
    <w:rsid w:val="00004B82"/>
    <w:rsid w:val="0000634A"/>
    <w:rsid w:val="00006765"/>
    <w:rsid w:val="00006E09"/>
    <w:rsid w:val="000076A8"/>
    <w:rsid w:val="00007801"/>
    <w:rsid w:val="000102C7"/>
    <w:rsid w:val="000120D5"/>
    <w:rsid w:val="0001243C"/>
    <w:rsid w:val="00012559"/>
    <w:rsid w:val="0001278A"/>
    <w:rsid w:val="00012D2E"/>
    <w:rsid w:val="00012DAD"/>
    <w:rsid w:val="000130D0"/>
    <w:rsid w:val="0001520C"/>
    <w:rsid w:val="00016745"/>
    <w:rsid w:val="000173F8"/>
    <w:rsid w:val="0002031B"/>
    <w:rsid w:val="00020399"/>
    <w:rsid w:val="000205A4"/>
    <w:rsid w:val="0002089C"/>
    <w:rsid w:val="00022F99"/>
    <w:rsid w:val="0002302C"/>
    <w:rsid w:val="00024491"/>
    <w:rsid w:val="00024514"/>
    <w:rsid w:val="00024948"/>
    <w:rsid w:val="00024FA0"/>
    <w:rsid w:val="000260DE"/>
    <w:rsid w:val="000265A0"/>
    <w:rsid w:val="000279C4"/>
    <w:rsid w:val="000307BD"/>
    <w:rsid w:val="00030B4C"/>
    <w:rsid w:val="000311DD"/>
    <w:rsid w:val="00031CFA"/>
    <w:rsid w:val="000327CD"/>
    <w:rsid w:val="000333E2"/>
    <w:rsid w:val="00033A9B"/>
    <w:rsid w:val="00033D39"/>
    <w:rsid w:val="000349E8"/>
    <w:rsid w:val="00034C53"/>
    <w:rsid w:val="000355D7"/>
    <w:rsid w:val="00035A94"/>
    <w:rsid w:val="00036AF4"/>
    <w:rsid w:val="000370C5"/>
    <w:rsid w:val="000376DE"/>
    <w:rsid w:val="00040A84"/>
    <w:rsid w:val="000414AE"/>
    <w:rsid w:val="00041E2D"/>
    <w:rsid w:val="0004214A"/>
    <w:rsid w:val="00042D41"/>
    <w:rsid w:val="00042E5B"/>
    <w:rsid w:val="00043843"/>
    <w:rsid w:val="00043A81"/>
    <w:rsid w:val="00043EF3"/>
    <w:rsid w:val="00044355"/>
    <w:rsid w:val="0004799D"/>
    <w:rsid w:val="0005050F"/>
    <w:rsid w:val="00050DEA"/>
    <w:rsid w:val="00051CAF"/>
    <w:rsid w:val="00052783"/>
    <w:rsid w:val="00053DE6"/>
    <w:rsid w:val="00053F98"/>
    <w:rsid w:val="00054DB2"/>
    <w:rsid w:val="00054DCB"/>
    <w:rsid w:val="000572D1"/>
    <w:rsid w:val="0005752D"/>
    <w:rsid w:val="000603E8"/>
    <w:rsid w:val="00061721"/>
    <w:rsid w:val="000620EE"/>
    <w:rsid w:val="00062E87"/>
    <w:rsid w:val="0006351D"/>
    <w:rsid w:val="00064564"/>
    <w:rsid w:val="000646DE"/>
    <w:rsid w:val="000657F7"/>
    <w:rsid w:val="00066901"/>
    <w:rsid w:val="00066D55"/>
    <w:rsid w:val="000716D0"/>
    <w:rsid w:val="0007203F"/>
    <w:rsid w:val="00072293"/>
    <w:rsid w:val="00072AD0"/>
    <w:rsid w:val="0007363D"/>
    <w:rsid w:val="00076614"/>
    <w:rsid w:val="0007674C"/>
    <w:rsid w:val="00080354"/>
    <w:rsid w:val="00080528"/>
    <w:rsid w:val="000805D5"/>
    <w:rsid w:val="0008063B"/>
    <w:rsid w:val="00081AC0"/>
    <w:rsid w:val="00082DC3"/>
    <w:rsid w:val="00082E66"/>
    <w:rsid w:val="00085AEC"/>
    <w:rsid w:val="00085B1F"/>
    <w:rsid w:val="00085BEE"/>
    <w:rsid w:val="00085BF6"/>
    <w:rsid w:val="00086513"/>
    <w:rsid w:val="0008685D"/>
    <w:rsid w:val="000869DA"/>
    <w:rsid w:val="00087AE4"/>
    <w:rsid w:val="00087C84"/>
    <w:rsid w:val="00090E46"/>
    <w:rsid w:val="000929AC"/>
    <w:rsid w:val="00092C41"/>
    <w:rsid w:val="00093144"/>
    <w:rsid w:val="00093A72"/>
    <w:rsid w:val="000946BE"/>
    <w:rsid w:val="00094FC2"/>
    <w:rsid w:val="0009542A"/>
    <w:rsid w:val="00095C77"/>
    <w:rsid w:val="00096FEA"/>
    <w:rsid w:val="00097A6A"/>
    <w:rsid w:val="00097B01"/>
    <w:rsid w:val="000A0A9F"/>
    <w:rsid w:val="000A1DF3"/>
    <w:rsid w:val="000A2590"/>
    <w:rsid w:val="000A42A7"/>
    <w:rsid w:val="000A4936"/>
    <w:rsid w:val="000A4A5D"/>
    <w:rsid w:val="000A5141"/>
    <w:rsid w:val="000A55C1"/>
    <w:rsid w:val="000A67FC"/>
    <w:rsid w:val="000A705A"/>
    <w:rsid w:val="000B11D2"/>
    <w:rsid w:val="000B1C60"/>
    <w:rsid w:val="000B1C74"/>
    <w:rsid w:val="000B215E"/>
    <w:rsid w:val="000B288C"/>
    <w:rsid w:val="000B2A80"/>
    <w:rsid w:val="000B2DFA"/>
    <w:rsid w:val="000B35E9"/>
    <w:rsid w:val="000B3698"/>
    <w:rsid w:val="000B37A4"/>
    <w:rsid w:val="000B4455"/>
    <w:rsid w:val="000B46B3"/>
    <w:rsid w:val="000B49F1"/>
    <w:rsid w:val="000B4A97"/>
    <w:rsid w:val="000B4B2B"/>
    <w:rsid w:val="000B5290"/>
    <w:rsid w:val="000B5A1F"/>
    <w:rsid w:val="000B617E"/>
    <w:rsid w:val="000B61F9"/>
    <w:rsid w:val="000B6AB0"/>
    <w:rsid w:val="000B7E0C"/>
    <w:rsid w:val="000C056B"/>
    <w:rsid w:val="000C1964"/>
    <w:rsid w:val="000C2CB5"/>
    <w:rsid w:val="000C4933"/>
    <w:rsid w:val="000C4D34"/>
    <w:rsid w:val="000C4DAC"/>
    <w:rsid w:val="000C4E23"/>
    <w:rsid w:val="000C5057"/>
    <w:rsid w:val="000C5451"/>
    <w:rsid w:val="000C66EE"/>
    <w:rsid w:val="000C7596"/>
    <w:rsid w:val="000D12A0"/>
    <w:rsid w:val="000D1FEA"/>
    <w:rsid w:val="000D35D7"/>
    <w:rsid w:val="000D4352"/>
    <w:rsid w:val="000D5EBC"/>
    <w:rsid w:val="000D61FA"/>
    <w:rsid w:val="000D6C41"/>
    <w:rsid w:val="000E0AF9"/>
    <w:rsid w:val="000E2F83"/>
    <w:rsid w:val="000E2FD0"/>
    <w:rsid w:val="000E3BFF"/>
    <w:rsid w:val="000E43E7"/>
    <w:rsid w:val="000E4D17"/>
    <w:rsid w:val="000F012F"/>
    <w:rsid w:val="000F03DF"/>
    <w:rsid w:val="000F1619"/>
    <w:rsid w:val="000F1C3B"/>
    <w:rsid w:val="000F1EB3"/>
    <w:rsid w:val="000F2B3F"/>
    <w:rsid w:val="000F2C0D"/>
    <w:rsid w:val="000F4754"/>
    <w:rsid w:val="000F5659"/>
    <w:rsid w:val="000F7A54"/>
    <w:rsid w:val="001005BD"/>
    <w:rsid w:val="00102781"/>
    <w:rsid w:val="00102DA2"/>
    <w:rsid w:val="00102F21"/>
    <w:rsid w:val="001030C7"/>
    <w:rsid w:val="00103CB3"/>
    <w:rsid w:val="00105268"/>
    <w:rsid w:val="00105B2E"/>
    <w:rsid w:val="00105B64"/>
    <w:rsid w:val="00105DC1"/>
    <w:rsid w:val="00105DD8"/>
    <w:rsid w:val="00106ACE"/>
    <w:rsid w:val="00106B77"/>
    <w:rsid w:val="001111E6"/>
    <w:rsid w:val="00111238"/>
    <w:rsid w:val="00111796"/>
    <w:rsid w:val="0011226A"/>
    <w:rsid w:val="0011347D"/>
    <w:rsid w:val="00114572"/>
    <w:rsid w:val="001149D7"/>
    <w:rsid w:val="001150C4"/>
    <w:rsid w:val="001156BD"/>
    <w:rsid w:val="001162D5"/>
    <w:rsid w:val="001167A0"/>
    <w:rsid w:val="0011789D"/>
    <w:rsid w:val="001178E9"/>
    <w:rsid w:val="001179D9"/>
    <w:rsid w:val="00117ADF"/>
    <w:rsid w:val="00120BC1"/>
    <w:rsid w:val="00120D9A"/>
    <w:rsid w:val="0012113D"/>
    <w:rsid w:val="00121FD2"/>
    <w:rsid w:val="0012212A"/>
    <w:rsid w:val="00122873"/>
    <w:rsid w:val="00122C82"/>
    <w:rsid w:val="00123A63"/>
    <w:rsid w:val="00123F02"/>
    <w:rsid w:val="00124179"/>
    <w:rsid w:val="00124AEA"/>
    <w:rsid w:val="00124AF1"/>
    <w:rsid w:val="0012526F"/>
    <w:rsid w:val="001254F5"/>
    <w:rsid w:val="001258DB"/>
    <w:rsid w:val="00125CAC"/>
    <w:rsid w:val="00126CD8"/>
    <w:rsid w:val="00131938"/>
    <w:rsid w:val="00131A68"/>
    <w:rsid w:val="00131CF7"/>
    <w:rsid w:val="00131F36"/>
    <w:rsid w:val="00131FFB"/>
    <w:rsid w:val="00132BCE"/>
    <w:rsid w:val="00132BD6"/>
    <w:rsid w:val="0013609F"/>
    <w:rsid w:val="00136F7B"/>
    <w:rsid w:val="001373B4"/>
    <w:rsid w:val="001379A1"/>
    <w:rsid w:val="00140AAC"/>
    <w:rsid w:val="00141D84"/>
    <w:rsid w:val="0014371F"/>
    <w:rsid w:val="00143775"/>
    <w:rsid w:val="00143812"/>
    <w:rsid w:val="00144770"/>
    <w:rsid w:val="00145F5B"/>
    <w:rsid w:val="00146079"/>
    <w:rsid w:val="00147140"/>
    <w:rsid w:val="0014715B"/>
    <w:rsid w:val="00147411"/>
    <w:rsid w:val="0014777C"/>
    <w:rsid w:val="00147965"/>
    <w:rsid w:val="00150771"/>
    <w:rsid w:val="00150784"/>
    <w:rsid w:val="001509E5"/>
    <w:rsid w:val="00151CD1"/>
    <w:rsid w:val="0015272F"/>
    <w:rsid w:val="00153105"/>
    <w:rsid w:val="00153776"/>
    <w:rsid w:val="00154C37"/>
    <w:rsid w:val="00154D21"/>
    <w:rsid w:val="00155323"/>
    <w:rsid w:val="001553AD"/>
    <w:rsid w:val="00160311"/>
    <w:rsid w:val="001606FE"/>
    <w:rsid w:val="00160C0F"/>
    <w:rsid w:val="00160F6A"/>
    <w:rsid w:val="00161DA4"/>
    <w:rsid w:val="0016241B"/>
    <w:rsid w:val="0016273F"/>
    <w:rsid w:val="00163980"/>
    <w:rsid w:val="00163C96"/>
    <w:rsid w:val="00164894"/>
    <w:rsid w:val="00164A6A"/>
    <w:rsid w:val="00165AC0"/>
    <w:rsid w:val="00170450"/>
    <w:rsid w:val="001705D5"/>
    <w:rsid w:val="001708C1"/>
    <w:rsid w:val="0017106A"/>
    <w:rsid w:val="001712F1"/>
    <w:rsid w:val="0017293F"/>
    <w:rsid w:val="00172DE5"/>
    <w:rsid w:val="00173334"/>
    <w:rsid w:val="00173920"/>
    <w:rsid w:val="0017432A"/>
    <w:rsid w:val="00175485"/>
    <w:rsid w:val="001816AA"/>
    <w:rsid w:val="001819F9"/>
    <w:rsid w:val="00181A52"/>
    <w:rsid w:val="00183EF3"/>
    <w:rsid w:val="00184198"/>
    <w:rsid w:val="001842BA"/>
    <w:rsid w:val="001845C5"/>
    <w:rsid w:val="00184BDE"/>
    <w:rsid w:val="001852E2"/>
    <w:rsid w:val="00186735"/>
    <w:rsid w:val="00186DE4"/>
    <w:rsid w:val="0019095D"/>
    <w:rsid w:val="00191043"/>
    <w:rsid w:val="00191F5F"/>
    <w:rsid w:val="00192A08"/>
    <w:rsid w:val="0019334D"/>
    <w:rsid w:val="00193FE2"/>
    <w:rsid w:val="001947AB"/>
    <w:rsid w:val="00195A25"/>
    <w:rsid w:val="00196D1E"/>
    <w:rsid w:val="001A0059"/>
    <w:rsid w:val="001A2FBF"/>
    <w:rsid w:val="001A3287"/>
    <w:rsid w:val="001A3DA7"/>
    <w:rsid w:val="001A5540"/>
    <w:rsid w:val="001A64C1"/>
    <w:rsid w:val="001B056A"/>
    <w:rsid w:val="001B12E8"/>
    <w:rsid w:val="001B18F0"/>
    <w:rsid w:val="001B196B"/>
    <w:rsid w:val="001B305F"/>
    <w:rsid w:val="001B4622"/>
    <w:rsid w:val="001B4AAA"/>
    <w:rsid w:val="001B4CBE"/>
    <w:rsid w:val="001B5413"/>
    <w:rsid w:val="001B6BF1"/>
    <w:rsid w:val="001B7369"/>
    <w:rsid w:val="001B74B4"/>
    <w:rsid w:val="001B7BC3"/>
    <w:rsid w:val="001C1A0E"/>
    <w:rsid w:val="001C26D5"/>
    <w:rsid w:val="001C3613"/>
    <w:rsid w:val="001C3F4B"/>
    <w:rsid w:val="001C3FD8"/>
    <w:rsid w:val="001C4104"/>
    <w:rsid w:val="001C4C71"/>
    <w:rsid w:val="001C5A0A"/>
    <w:rsid w:val="001C5B00"/>
    <w:rsid w:val="001C647E"/>
    <w:rsid w:val="001C64A8"/>
    <w:rsid w:val="001C683A"/>
    <w:rsid w:val="001C6E26"/>
    <w:rsid w:val="001C7F4E"/>
    <w:rsid w:val="001D0377"/>
    <w:rsid w:val="001D377D"/>
    <w:rsid w:val="001D4550"/>
    <w:rsid w:val="001D51B2"/>
    <w:rsid w:val="001D6609"/>
    <w:rsid w:val="001D6A8C"/>
    <w:rsid w:val="001D6FCB"/>
    <w:rsid w:val="001E0193"/>
    <w:rsid w:val="001E167A"/>
    <w:rsid w:val="001E1A5C"/>
    <w:rsid w:val="001E1E43"/>
    <w:rsid w:val="001E2443"/>
    <w:rsid w:val="001E26C2"/>
    <w:rsid w:val="001E2823"/>
    <w:rsid w:val="001E43B0"/>
    <w:rsid w:val="001E6945"/>
    <w:rsid w:val="001E7D91"/>
    <w:rsid w:val="001E7E70"/>
    <w:rsid w:val="001F1D2F"/>
    <w:rsid w:val="001F2530"/>
    <w:rsid w:val="001F313B"/>
    <w:rsid w:val="001F419D"/>
    <w:rsid w:val="001F4496"/>
    <w:rsid w:val="001F496D"/>
    <w:rsid w:val="001F498B"/>
    <w:rsid w:val="001F4A9C"/>
    <w:rsid w:val="001F57E2"/>
    <w:rsid w:val="001F5E1F"/>
    <w:rsid w:val="00200261"/>
    <w:rsid w:val="002011C6"/>
    <w:rsid w:val="00202016"/>
    <w:rsid w:val="002028E7"/>
    <w:rsid w:val="00202B5D"/>
    <w:rsid w:val="002035B2"/>
    <w:rsid w:val="00203894"/>
    <w:rsid w:val="00203F72"/>
    <w:rsid w:val="002045FE"/>
    <w:rsid w:val="00205DA6"/>
    <w:rsid w:val="00206148"/>
    <w:rsid w:val="002065AA"/>
    <w:rsid w:val="002076D1"/>
    <w:rsid w:val="00210618"/>
    <w:rsid w:val="00210AC3"/>
    <w:rsid w:val="002111AA"/>
    <w:rsid w:val="00211C6B"/>
    <w:rsid w:val="002123F8"/>
    <w:rsid w:val="00212BA0"/>
    <w:rsid w:val="00213147"/>
    <w:rsid w:val="0021423B"/>
    <w:rsid w:val="002142D0"/>
    <w:rsid w:val="002148D9"/>
    <w:rsid w:val="00214C37"/>
    <w:rsid w:val="0021683E"/>
    <w:rsid w:val="00216CDD"/>
    <w:rsid w:val="00217338"/>
    <w:rsid w:val="00217AD7"/>
    <w:rsid w:val="00217FE3"/>
    <w:rsid w:val="00220048"/>
    <w:rsid w:val="00221066"/>
    <w:rsid w:val="00222403"/>
    <w:rsid w:val="002226B8"/>
    <w:rsid w:val="002227B3"/>
    <w:rsid w:val="00222883"/>
    <w:rsid w:val="00224125"/>
    <w:rsid w:val="00224704"/>
    <w:rsid w:val="00224DFF"/>
    <w:rsid w:val="00225149"/>
    <w:rsid w:val="002254E0"/>
    <w:rsid w:val="002257E8"/>
    <w:rsid w:val="00226B91"/>
    <w:rsid w:val="00226F57"/>
    <w:rsid w:val="00227151"/>
    <w:rsid w:val="00230435"/>
    <w:rsid w:val="002308A0"/>
    <w:rsid w:val="00230C30"/>
    <w:rsid w:val="00230D4D"/>
    <w:rsid w:val="0023366F"/>
    <w:rsid w:val="00233A54"/>
    <w:rsid w:val="00233B5E"/>
    <w:rsid w:val="002355B2"/>
    <w:rsid w:val="0023688B"/>
    <w:rsid w:val="00237A78"/>
    <w:rsid w:val="00237C78"/>
    <w:rsid w:val="00240200"/>
    <w:rsid w:val="00240402"/>
    <w:rsid w:val="002410D5"/>
    <w:rsid w:val="00241659"/>
    <w:rsid w:val="002423A5"/>
    <w:rsid w:val="002429BD"/>
    <w:rsid w:val="00244089"/>
    <w:rsid w:val="002457B1"/>
    <w:rsid w:val="00245FDC"/>
    <w:rsid w:val="00246895"/>
    <w:rsid w:val="00247914"/>
    <w:rsid w:val="00250545"/>
    <w:rsid w:val="00250DBB"/>
    <w:rsid w:val="00252B97"/>
    <w:rsid w:val="0025331F"/>
    <w:rsid w:val="00253DBA"/>
    <w:rsid w:val="0025424A"/>
    <w:rsid w:val="0025648A"/>
    <w:rsid w:val="00256A77"/>
    <w:rsid w:val="00257C28"/>
    <w:rsid w:val="00257EF4"/>
    <w:rsid w:val="00261F3D"/>
    <w:rsid w:val="00262FFA"/>
    <w:rsid w:val="0026552B"/>
    <w:rsid w:val="00265BCE"/>
    <w:rsid w:val="002662CD"/>
    <w:rsid w:val="002674BB"/>
    <w:rsid w:val="00267878"/>
    <w:rsid w:val="00271EAF"/>
    <w:rsid w:val="0027333B"/>
    <w:rsid w:val="00273C85"/>
    <w:rsid w:val="00274BB2"/>
    <w:rsid w:val="002756ED"/>
    <w:rsid w:val="00275B06"/>
    <w:rsid w:val="00276202"/>
    <w:rsid w:val="0027647B"/>
    <w:rsid w:val="00276C4B"/>
    <w:rsid w:val="00276F8A"/>
    <w:rsid w:val="00277064"/>
    <w:rsid w:val="00277457"/>
    <w:rsid w:val="0027788E"/>
    <w:rsid w:val="00277D7A"/>
    <w:rsid w:val="00280871"/>
    <w:rsid w:val="002821FD"/>
    <w:rsid w:val="00283FEF"/>
    <w:rsid w:val="002851DD"/>
    <w:rsid w:val="00285F85"/>
    <w:rsid w:val="0028633C"/>
    <w:rsid w:val="00287AC8"/>
    <w:rsid w:val="00287F7B"/>
    <w:rsid w:val="002900BC"/>
    <w:rsid w:val="00292956"/>
    <w:rsid w:val="002934BA"/>
    <w:rsid w:val="00293ACE"/>
    <w:rsid w:val="00293C1C"/>
    <w:rsid w:val="002940CD"/>
    <w:rsid w:val="0029433D"/>
    <w:rsid w:val="0029465C"/>
    <w:rsid w:val="0029482C"/>
    <w:rsid w:val="00296531"/>
    <w:rsid w:val="00297653"/>
    <w:rsid w:val="002977E0"/>
    <w:rsid w:val="00297C17"/>
    <w:rsid w:val="002A0BDB"/>
    <w:rsid w:val="002A0D64"/>
    <w:rsid w:val="002A15D1"/>
    <w:rsid w:val="002A24F3"/>
    <w:rsid w:val="002A3050"/>
    <w:rsid w:val="002A41F9"/>
    <w:rsid w:val="002A4ECC"/>
    <w:rsid w:val="002A5608"/>
    <w:rsid w:val="002A62C6"/>
    <w:rsid w:val="002A6B90"/>
    <w:rsid w:val="002A7E6E"/>
    <w:rsid w:val="002B0022"/>
    <w:rsid w:val="002B066A"/>
    <w:rsid w:val="002B111F"/>
    <w:rsid w:val="002B19B5"/>
    <w:rsid w:val="002B228A"/>
    <w:rsid w:val="002B2B00"/>
    <w:rsid w:val="002B2C89"/>
    <w:rsid w:val="002B3EBD"/>
    <w:rsid w:val="002B482A"/>
    <w:rsid w:val="002B6353"/>
    <w:rsid w:val="002B68CC"/>
    <w:rsid w:val="002B7053"/>
    <w:rsid w:val="002B7AC1"/>
    <w:rsid w:val="002C00B0"/>
    <w:rsid w:val="002C0131"/>
    <w:rsid w:val="002C1497"/>
    <w:rsid w:val="002C1511"/>
    <w:rsid w:val="002C31A4"/>
    <w:rsid w:val="002C31C1"/>
    <w:rsid w:val="002C31D9"/>
    <w:rsid w:val="002C37E5"/>
    <w:rsid w:val="002C4D80"/>
    <w:rsid w:val="002C533A"/>
    <w:rsid w:val="002C58CD"/>
    <w:rsid w:val="002C636A"/>
    <w:rsid w:val="002C671B"/>
    <w:rsid w:val="002C7310"/>
    <w:rsid w:val="002C7BB5"/>
    <w:rsid w:val="002D257B"/>
    <w:rsid w:val="002D312D"/>
    <w:rsid w:val="002D3F08"/>
    <w:rsid w:val="002D6238"/>
    <w:rsid w:val="002D7560"/>
    <w:rsid w:val="002E0328"/>
    <w:rsid w:val="002E1ABA"/>
    <w:rsid w:val="002E252A"/>
    <w:rsid w:val="002E281E"/>
    <w:rsid w:val="002E2EB2"/>
    <w:rsid w:val="002E3254"/>
    <w:rsid w:val="002E3838"/>
    <w:rsid w:val="002E3AE2"/>
    <w:rsid w:val="002E4AA2"/>
    <w:rsid w:val="002E5281"/>
    <w:rsid w:val="002E59F0"/>
    <w:rsid w:val="002E5D44"/>
    <w:rsid w:val="002E6110"/>
    <w:rsid w:val="002E6CDE"/>
    <w:rsid w:val="002E6CFF"/>
    <w:rsid w:val="002F0BB3"/>
    <w:rsid w:val="002F1B09"/>
    <w:rsid w:val="002F366F"/>
    <w:rsid w:val="002F41A4"/>
    <w:rsid w:val="002F42C1"/>
    <w:rsid w:val="002F6752"/>
    <w:rsid w:val="002F6B15"/>
    <w:rsid w:val="002F6BA9"/>
    <w:rsid w:val="002F7165"/>
    <w:rsid w:val="002F7F2D"/>
    <w:rsid w:val="003009BE"/>
    <w:rsid w:val="003012CD"/>
    <w:rsid w:val="00301875"/>
    <w:rsid w:val="00302FE2"/>
    <w:rsid w:val="0030334B"/>
    <w:rsid w:val="00303475"/>
    <w:rsid w:val="00303F27"/>
    <w:rsid w:val="003049EC"/>
    <w:rsid w:val="0030658C"/>
    <w:rsid w:val="003071BD"/>
    <w:rsid w:val="00307A56"/>
    <w:rsid w:val="00311646"/>
    <w:rsid w:val="00311C41"/>
    <w:rsid w:val="00313CE7"/>
    <w:rsid w:val="00314052"/>
    <w:rsid w:val="00314B22"/>
    <w:rsid w:val="00314E01"/>
    <w:rsid w:val="00315E1B"/>
    <w:rsid w:val="003173DC"/>
    <w:rsid w:val="003208B0"/>
    <w:rsid w:val="00320951"/>
    <w:rsid w:val="00320D17"/>
    <w:rsid w:val="00321A17"/>
    <w:rsid w:val="00321A51"/>
    <w:rsid w:val="00321DA7"/>
    <w:rsid w:val="00323542"/>
    <w:rsid w:val="0032396A"/>
    <w:rsid w:val="00324F76"/>
    <w:rsid w:val="00325599"/>
    <w:rsid w:val="0032575D"/>
    <w:rsid w:val="00325E6F"/>
    <w:rsid w:val="003261F9"/>
    <w:rsid w:val="00326357"/>
    <w:rsid w:val="003300C4"/>
    <w:rsid w:val="00330908"/>
    <w:rsid w:val="003309C8"/>
    <w:rsid w:val="003312E6"/>
    <w:rsid w:val="0033278D"/>
    <w:rsid w:val="003330A8"/>
    <w:rsid w:val="0033493C"/>
    <w:rsid w:val="00335355"/>
    <w:rsid w:val="0033586A"/>
    <w:rsid w:val="003358E1"/>
    <w:rsid w:val="00336D53"/>
    <w:rsid w:val="0034253E"/>
    <w:rsid w:val="00343EBE"/>
    <w:rsid w:val="003443BD"/>
    <w:rsid w:val="00344616"/>
    <w:rsid w:val="00344F67"/>
    <w:rsid w:val="0034514B"/>
    <w:rsid w:val="003458D4"/>
    <w:rsid w:val="00346AE7"/>
    <w:rsid w:val="00346EAC"/>
    <w:rsid w:val="00347E96"/>
    <w:rsid w:val="00350307"/>
    <w:rsid w:val="0035225D"/>
    <w:rsid w:val="00352ADA"/>
    <w:rsid w:val="003534DF"/>
    <w:rsid w:val="0035361F"/>
    <w:rsid w:val="0035399E"/>
    <w:rsid w:val="0035503A"/>
    <w:rsid w:val="00355231"/>
    <w:rsid w:val="00356ADD"/>
    <w:rsid w:val="00361F7D"/>
    <w:rsid w:val="00362302"/>
    <w:rsid w:val="0036270D"/>
    <w:rsid w:val="00362714"/>
    <w:rsid w:val="003633A2"/>
    <w:rsid w:val="00363CD5"/>
    <w:rsid w:val="00364137"/>
    <w:rsid w:val="003655AC"/>
    <w:rsid w:val="00365BE4"/>
    <w:rsid w:val="00367C03"/>
    <w:rsid w:val="003734AA"/>
    <w:rsid w:val="00374C64"/>
    <w:rsid w:val="003752AA"/>
    <w:rsid w:val="003763D8"/>
    <w:rsid w:val="003773D8"/>
    <w:rsid w:val="00377E52"/>
    <w:rsid w:val="0038004D"/>
    <w:rsid w:val="003804FC"/>
    <w:rsid w:val="00380CED"/>
    <w:rsid w:val="00380E44"/>
    <w:rsid w:val="003825B1"/>
    <w:rsid w:val="00382968"/>
    <w:rsid w:val="00383B7D"/>
    <w:rsid w:val="00383E33"/>
    <w:rsid w:val="00384461"/>
    <w:rsid w:val="003854C7"/>
    <w:rsid w:val="00385998"/>
    <w:rsid w:val="00385EA7"/>
    <w:rsid w:val="003868F0"/>
    <w:rsid w:val="00387184"/>
    <w:rsid w:val="00387596"/>
    <w:rsid w:val="00387A3F"/>
    <w:rsid w:val="003909EA"/>
    <w:rsid w:val="0039114B"/>
    <w:rsid w:val="00391B99"/>
    <w:rsid w:val="0039360D"/>
    <w:rsid w:val="003941A9"/>
    <w:rsid w:val="00394DED"/>
    <w:rsid w:val="003965BC"/>
    <w:rsid w:val="00396872"/>
    <w:rsid w:val="003972A8"/>
    <w:rsid w:val="0039781C"/>
    <w:rsid w:val="003A0983"/>
    <w:rsid w:val="003A0B9E"/>
    <w:rsid w:val="003A23A7"/>
    <w:rsid w:val="003A2F96"/>
    <w:rsid w:val="003A42B1"/>
    <w:rsid w:val="003A45FF"/>
    <w:rsid w:val="003A5678"/>
    <w:rsid w:val="003A5E32"/>
    <w:rsid w:val="003A6CC8"/>
    <w:rsid w:val="003A72BA"/>
    <w:rsid w:val="003A7B60"/>
    <w:rsid w:val="003B1301"/>
    <w:rsid w:val="003B15B8"/>
    <w:rsid w:val="003B2421"/>
    <w:rsid w:val="003B443F"/>
    <w:rsid w:val="003B4D1D"/>
    <w:rsid w:val="003B4EC0"/>
    <w:rsid w:val="003B4FB3"/>
    <w:rsid w:val="003B575D"/>
    <w:rsid w:val="003B6423"/>
    <w:rsid w:val="003B704E"/>
    <w:rsid w:val="003B7148"/>
    <w:rsid w:val="003B7B33"/>
    <w:rsid w:val="003C10FF"/>
    <w:rsid w:val="003C1E99"/>
    <w:rsid w:val="003C1FC5"/>
    <w:rsid w:val="003C4C66"/>
    <w:rsid w:val="003C4E27"/>
    <w:rsid w:val="003C55AC"/>
    <w:rsid w:val="003C6529"/>
    <w:rsid w:val="003C735E"/>
    <w:rsid w:val="003C7BE9"/>
    <w:rsid w:val="003C7D94"/>
    <w:rsid w:val="003D0A64"/>
    <w:rsid w:val="003D18BF"/>
    <w:rsid w:val="003D2043"/>
    <w:rsid w:val="003D521E"/>
    <w:rsid w:val="003D5730"/>
    <w:rsid w:val="003D6B00"/>
    <w:rsid w:val="003D6CF5"/>
    <w:rsid w:val="003D6F47"/>
    <w:rsid w:val="003E0AD0"/>
    <w:rsid w:val="003E13A9"/>
    <w:rsid w:val="003E1F36"/>
    <w:rsid w:val="003E2392"/>
    <w:rsid w:val="003E3060"/>
    <w:rsid w:val="003E4546"/>
    <w:rsid w:val="003E4803"/>
    <w:rsid w:val="003E4900"/>
    <w:rsid w:val="003E4C49"/>
    <w:rsid w:val="003E5030"/>
    <w:rsid w:val="003E5891"/>
    <w:rsid w:val="003E59C2"/>
    <w:rsid w:val="003E642E"/>
    <w:rsid w:val="003E6B1E"/>
    <w:rsid w:val="003E7DC4"/>
    <w:rsid w:val="003F0E21"/>
    <w:rsid w:val="003F2771"/>
    <w:rsid w:val="003F2BEC"/>
    <w:rsid w:val="003F515F"/>
    <w:rsid w:val="003F6614"/>
    <w:rsid w:val="003F71A9"/>
    <w:rsid w:val="003F7C24"/>
    <w:rsid w:val="004007C8"/>
    <w:rsid w:val="0040179E"/>
    <w:rsid w:val="00401AE6"/>
    <w:rsid w:val="00402244"/>
    <w:rsid w:val="00403214"/>
    <w:rsid w:val="004038FF"/>
    <w:rsid w:val="0040427D"/>
    <w:rsid w:val="0040492F"/>
    <w:rsid w:val="00405859"/>
    <w:rsid w:val="00406D61"/>
    <w:rsid w:val="00407256"/>
    <w:rsid w:val="00411D73"/>
    <w:rsid w:val="0041290A"/>
    <w:rsid w:val="004139D6"/>
    <w:rsid w:val="00413BDA"/>
    <w:rsid w:val="004153DB"/>
    <w:rsid w:val="00420CE3"/>
    <w:rsid w:val="00421851"/>
    <w:rsid w:val="00421A52"/>
    <w:rsid w:val="00421B9A"/>
    <w:rsid w:val="004223D3"/>
    <w:rsid w:val="0042244A"/>
    <w:rsid w:val="004229DF"/>
    <w:rsid w:val="00422EE6"/>
    <w:rsid w:val="00426162"/>
    <w:rsid w:val="0042710D"/>
    <w:rsid w:val="00427D90"/>
    <w:rsid w:val="00430210"/>
    <w:rsid w:val="00434021"/>
    <w:rsid w:val="00434703"/>
    <w:rsid w:val="004348F0"/>
    <w:rsid w:val="0043667B"/>
    <w:rsid w:val="00436926"/>
    <w:rsid w:val="00437AF4"/>
    <w:rsid w:val="00440BD6"/>
    <w:rsid w:val="0044154A"/>
    <w:rsid w:val="00441857"/>
    <w:rsid w:val="00442418"/>
    <w:rsid w:val="00442FD5"/>
    <w:rsid w:val="00443CBF"/>
    <w:rsid w:val="00444704"/>
    <w:rsid w:val="00445CF7"/>
    <w:rsid w:val="004469AE"/>
    <w:rsid w:val="0044745E"/>
    <w:rsid w:val="00450598"/>
    <w:rsid w:val="00451035"/>
    <w:rsid w:val="0045174F"/>
    <w:rsid w:val="00451784"/>
    <w:rsid w:val="00452E17"/>
    <w:rsid w:val="004532FE"/>
    <w:rsid w:val="0045390B"/>
    <w:rsid w:val="004542F2"/>
    <w:rsid w:val="0045617E"/>
    <w:rsid w:val="004568E4"/>
    <w:rsid w:val="00456A1F"/>
    <w:rsid w:val="00456FF8"/>
    <w:rsid w:val="004573DB"/>
    <w:rsid w:val="004613E4"/>
    <w:rsid w:val="004614EF"/>
    <w:rsid w:val="00461660"/>
    <w:rsid w:val="00461CEB"/>
    <w:rsid w:val="00461D4A"/>
    <w:rsid w:val="00462003"/>
    <w:rsid w:val="004657EA"/>
    <w:rsid w:val="00466174"/>
    <w:rsid w:val="0046649C"/>
    <w:rsid w:val="00466B6D"/>
    <w:rsid w:val="00466D58"/>
    <w:rsid w:val="004670F4"/>
    <w:rsid w:val="0046738B"/>
    <w:rsid w:val="0047156A"/>
    <w:rsid w:val="004719C8"/>
    <w:rsid w:val="00471AD0"/>
    <w:rsid w:val="00471E50"/>
    <w:rsid w:val="00472026"/>
    <w:rsid w:val="00472F09"/>
    <w:rsid w:val="004735BC"/>
    <w:rsid w:val="0047383D"/>
    <w:rsid w:val="004745AB"/>
    <w:rsid w:val="0047485D"/>
    <w:rsid w:val="00474EA3"/>
    <w:rsid w:val="0047502E"/>
    <w:rsid w:val="00475ECE"/>
    <w:rsid w:val="00476137"/>
    <w:rsid w:val="00476139"/>
    <w:rsid w:val="00476F47"/>
    <w:rsid w:val="004804E0"/>
    <w:rsid w:val="0048185B"/>
    <w:rsid w:val="00481EC0"/>
    <w:rsid w:val="004820F5"/>
    <w:rsid w:val="00484606"/>
    <w:rsid w:val="00484796"/>
    <w:rsid w:val="00485870"/>
    <w:rsid w:val="00485E8B"/>
    <w:rsid w:val="004911A2"/>
    <w:rsid w:val="0049306C"/>
    <w:rsid w:val="004931BD"/>
    <w:rsid w:val="0049337A"/>
    <w:rsid w:val="00493750"/>
    <w:rsid w:val="00493B9F"/>
    <w:rsid w:val="004946FD"/>
    <w:rsid w:val="004953DA"/>
    <w:rsid w:val="00496099"/>
    <w:rsid w:val="00496544"/>
    <w:rsid w:val="00497931"/>
    <w:rsid w:val="00497D2C"/>
    <w:rsid w:val="004A05CC"/>
    <w:rsid w:val="004A0812"/>
    <w:rsid w:val="004A083C"/>
    <w:rsid w:val="004A10F7"/>
    <w:rsid w:val="004A174A"/>
    <w:rsid w:val="004A1CE0"/>
    <w:rsid w:val="004A201F"/>
    <w:rsid w:val="004A29AF"/>
    <w:rsid w:val="004A2AAB"/>
    <w:rsid w:val="004A2EE4"/>
    <w:rsid w:val="004A3BCC"/>
    <w:rsid w:val="004A4BFC"/>
    <w:rsid w:val="004A4E64"/>
    <w:rsid w:val="004A5754"/>
    <w:rsid w:val="004A64A2"/>
    <w:rsid w:val="004A6935"/>
    <w:rsid w:val="004A70F4"/>
    <w:rsid w:val="004A7EEC"/>
    <w:rsid w:val="004B0A9A"/>
    <w:rsid w:val="004B0E80"/>
    <w:rsid w:val="004B35D6"/>
    <w:rsid w:val="004B39D9"/>
    <w:rsid w:val="004B466B"/>
    <w:rsid w:val="004B52FA"/>
    <w:rsid w:val="004B61D1"/>
    <w:rsid w:val="004B6432"/>
    <w:rsid w:val="004B6D88"/>
    <w:rsid w:val="004C13F3"/>
    <w:rsid w:val="004C2780"/>
    <w:rsid w:val="004C2808"/>
    <w:rsid w:val="004C36EB"/>
    <w:rsid w:val="004C3E86"/>
    <w:rsid w:val="004C4143"/>
    <w:rsid w:val="004C52A6"/>
    <w:rsid w:val="004C590A"/>
    <w:rsid w:val="004C5B56"/>
    <w:rsid w:val="004C62D2"/>
    <w:rsid w:val="004C6C19"/>
    <w:rsid w:val="004D03F4"/>
    <w:rsid w:val="004D1E78"/>
    <w:rsid w:val="004D1F75"/>
    <w:rsid w:val="004D4406"/>
    <w:rsid w:val="004D4DA2"/>
    <w:rsid w:val="004D5611"/>
    <w:rsid w:val="004D5E02"/>
    <w:rsid w:val="004D62E4"/>
    <w:rsid w:val="004D72A2"/>
    <w:rsid w:val="004D75B7"/>
    <w:rsid w:val="004D780C"/>
    <w:rsid w:val="004D79AC"/>
    <w:rsid w:val="004D7BAA"/>
    <w:rsid w:val="004E00A5"/>
    <w:rsid w:val="004E02B9"/>
    <w:rsid w:val="004E0BEA"/>
    <w:rsid w:val="004E0DD2"/>
    <w:rsid w:val="004E1290"/>
    <w:rsid w:val="004E1DA1"/>
    <w:rsid w:val="004E1E90"/>
    <w:rsid w:val="004E39EA"/>
    <w:rsid w:val="004E57F8"/>
    <w:rsid w:val="004E5803"/>
    <w:rsid w:val="004E7B18"/>
    <w:rsid w:val="004F000E"/>
    <w:rsid w:val="004F02F1"/>
    <w:rsid w:val="004F04B0"/>
    <w:rsid w:val="004F0B87"/>
    <w:rsid w:val="004F0DEF"/>
    <w:rsid w:val="004F11E8"/>
    <w:rsid w:val="004F122C"/>
    <w:rsid w:val="004F13EA"/>
    <w:rsid w:val="004F1A3D"/>
    <w:rsid w:val="004F2ED5"/>
    <w:rsid w:val="004F3121"/>
    <w:rsid w:val="004F35CD"/>
    <w:rsid w:val="004F373C"/>
    <w:rsid w:val="004F40B9"/>
    <w:rsid w:val="004F44C1"/>
    <w:rsid w:val="004F489F"/>
    <w:rsid w:val="004F4FF9"/>
    <w:rsid w:val="004F59BA"/>
    <w:rsid w:val="004F6960"/>
    <w:rsid w:val="004F6E83"/>
    <w:rsid w:val="004F784B"/>
    <w:rsid w:val="00501295"/>
    <w:rsid w:val="00501337"/>
    <w:rsid w:val="00501D08"/>
    <w:rsid w:val="00501FB9"/>
    <w:rsid w:val="00502ADF"/>
    <w:rsid w:val="00502CC3"/>
    <w:rsid w:val="00503BBC"/>
    <w:rsid w:val="005048CD"/>
    <w:rsid w:val="00504932"/>
    <w:rsid w:val="0050639C"/>
    <w:rsid w:val="005068B5"/>
    <w:rsid w:val="00506FA2"/>
    <w:rsid w:val="00511238"/>
    <w:rsid w:val="005113C1"/>
    <w:rsid w:val="00512539"/>
    <w:rsid w:val="0051255F"/>
    <w:rsid w:val="00513202"/>
    <w:rsid w:val="0051386B"/>
    <w:rsid w:val="00513C56"/>
    <w:rsid w:val="00513C93"/>
    <w:rsid w:val="00513F62"/>
    <w:rsid w:val="00513FB1"/>
    <w:rsid w:val="005145FC"/>
    <w:rsid w:val="00514D0B"/>
    <w:rsid w:val="00515889"/>
    <w:rsid w:val="00516365"/>
    <w:rsid w:val="0051637D"/>
    <w:rsid w:val="00517D0E"/>
    <w:rsid w:val="00520092"/>
    <w:rsid w:val="005216C6"/>
    <w:rsid w:val="0052226C"/>
    <w:rsid w:val="0052309D"/>
    <w:rsid w:val="0052343E"/>
    <w:rsid w:val="00524053"/>
    <w:rsid w:val="005244A9"/>
    <w:rsid w:val="00524678"/>
    <w:rsid w:val="00524B6B"/>
    <w:rsid w:val="0052664A"/>
    <w:rsid w:val="0052747D"/>
    <w:rsid w:val="00527899"/>
    <w:rsid w:val="00527D3E"/>
    <w:rsid w:val="00530347"/>
    <w:rsid w:val="005308DC"/>
    <w:rsid w:val="00530ED7"/>
    <w:rsid w:val="00531332"/>
    <w:rsid w:val="0053231E"/>
    <w:rsid w:val="00532C36"/>
    <w:rsid w:val="00534B53"/>
    <w:rsid w:val="00535128"/>
    <w:rsid w:val="005365F2"/>
    <w:rsid w:val="00536E2C"/>
    <w:rsid w:val="0053714A"/>
    <w:rsid w:val="00541164"/>
    <w:rsid w:val="005415F6"/>
    <w:rsid w:val="005421A7"/>
    <w:rsid w:val="00542225"/>
    <w:rsid w:val="005437AD"/>
    <w:rsid w:val="00543FFD"/>
    <w:rsid w:val="005442A7"/>
    <w:rsid w:val="00544F35"/>
    <w:rsid w:val="005460C8"/>
    <w:rsid w:val="00547701"/>
    <w:rsid w:val="0055114A"/>
    <w:rsid w:val="00552E18"/>
    <w:rsid w:val="00552FAF"/>
    <w:rsid w:val="00553153"/>
    <w:rsid w:val="0055418B"/>
    <w:rsid w:val="00554D95"/>
    <w:rsid w:val="00555A2A"/>
    <w:rsid w:val="00556E8B"/>
    <w:rsid w:val="00557123"/>
    <w:rsid w:val="005574BB"/>
    <w:rsid w:val="00560063"/>
    <w:rsid w:val="00560B27"/>
    <w:rsid w:val="00561772"/>
    <w:rsid w:val="00561E0A"/>
    <w:rsid w:val="00561F9A"/>
    <w:rsid w:val="005623CE"/>
    <w:rsid w:val="00562A62"/>
    <w:rsid w:val="00562E6C"/>
    <w:rsid w:val="00563238"/>
    <w:rsid w:val="00564B68"/>
    <w:rsid w:val="00564BA4"/>
    <w:rsid w:val="00565158"/>
    <w:rsid w:val="00566078"/>
    <w:rsid w:val="0056643C"/>
    <w:rsid w:val="00566BF9"/>
    <w:rsid w:val="005670AA"/>
    <w:rsid w:val="00567164"/>
    <w:rsid w:val="0056717D"/>
    <w:rsid w:val="00567309"/>
    <w:rsid w:val="00567753"/>
    <w:rsid w:val="0057011A"/>
    <w:rsid w:val="00570272"/>
    <w:rsid w:val="00570B22"/>
    <w:rsid w:val="00571000"/>
    <w:rsid w:val="005710BC"/>
    <w:rsid w:val="00572353"/>
    <w:rsid w:val="0057299E"/>
    <w:rsid w:val="005730CA"/>
    <w:rsid w:val="00573A86"/>
    <w:rsid w:val="00573DF2"/>
    <w:rsid w:val="00574F9A"/>
    <w:rsid w:val="005752FE"/>
    <w:rsid w:val="005756BA"/>
    <w:rsid w:val="005758DE"/>
    <w:rsid w:val="00575BF7"/>
    <w:rsid w:val="00577194"/>
    <w:rsid w:val="00577ADE"/>
    <w:rsid w:val="00577D92"/>
    <w:rsid w:val="00580129"/>
    <w:rsid w:val="005810A7"/>
    <w:rsid w:val="00581986"/>
    <w:rsid w:val="00581C7A"/>
    <w:rsid w:val="0058338E"/>
    <w:rsid w:val="0058341C"/>
    <w:rsid w:val="00583D3F"/>
    <w:rsid w:val="005840BF"/>
    <w:rsid w:val="00584458"/>
    <w:rsid w:val="00584CB3"/>
    <w:rsid w:val="005852A9"/>
    <w:rsid w:val="00586428"/>
    <w:rsid w:val="00586922"/>
    <w:rsid w:val="0058723B"/>
    <w:rsid w:val="00591A32"/>
    <w:rsid w:val="00591AB2"/>
    <w:rsid w:val="00591F2E"/>
    <w:rsid w:val="00592164"/>
    <w:rsid w:val="00593E58"/>
    <w:rsid w:val="005946BA"/>
    <w:rsid w:val="00594B29"/>
    <w:rsid w:val="0059678E"/>
    <w:rsid w:val="005A1D33"/>
    <w:rsid w:val="005A23DB"/>
    <w:rsid w:val="005A2D67"/>
    <w:rsid w:val="005A3185"/>
    <w:rsid w:val="005A32FA"/>
    <w:rsid w:val="005A4672"/>
    <w:rsid w:val="005A4814"/>
    <w:rsid w:val="005A55A3"/>
    <w:rsid w:val="005A6492"/>
    <w:rsid w:val="005B121C"/>
    <w:rsid w:val="005B1367"/>
    <w:rsid w:val="005B199F"/>
    <w:rsid w:val="005B27D5"/>
    <w:rsid w:val="005B301B"/>
    <w:rsid w:val="005B487B"/>
    <w:rsid w:val="005B4DB7"/>
    <w:rsid w:val="005B5BC1"/>
    <w:rsid w:val="005B657A"/>
    <w:rsid w:val="005B6ACD"/>
    <w:rsid w:val="005B6D59"/>
    <w:rsid w:val="005C305E"/>
    <w:rsid w:val="005C3147"/>
    <w:rsid w:val="005C49C1"/>
    <w:rsid w:val="005C4C82"/>
    <w:rsid w:val="005C4C9D"/>
    <w:rsid w:val="005C5869"/>
    <w:rsid w:val="005C6553"/>
    <w:rsid w:val="005D0711"/>
    <w:rsid w:val="005D1655"/>
    <w:rsid w:val="005D2844"/>
    <w:rsid w:val="005D2C80"/>
    <w:rsid w:val="005D2FC1"/>
    <w:rsid w:val="005D351F"/>
    <w:rsid w:val="005D4A8C"/>
    <w:rsid w:val="005D4FB8"/>
    <w:rsid w:val="005D51A3"/>
    <w:rsid w:val="005D5C0D"/>
    <w:rsid w:val="005D5CFD"/>
    <w:rsid w:val="005D5D54"/>
    <w:rsid w:val="005D67E3"/>
    <w:rsid w:val="005D6E78"/>
    <w:rsid w:val="005D770B"/>
    <w:rsid w:val="005D7F1C"/>
    <w:rsid w:val="005E064F"/>
    <w:rsid w:val="005E08ED"/>
    <w:rsid w:val="005E0996"/>
    <w:rsid w:val="005E0AC8"/>
    <w:rsid w:val="005E16E5"/>
    <w:rsid w:val="005E203D"/>
    <w:rsid w:val="005E31C4"/>
    <w:rsid w:val="005E3D63"/>
    <w:rsid w:val="005E599C"/>
    <w:rsid w:val="005E5B08"/>
    <w:rsid w:val="005E69B3"/>
    <w:rsid w:val="005E6F3B"/>
    <w:rsid w:val="005E7597"/>
    <w:rsid w:val="005E7833"/>
    <w:rsid w:val="005F0DBD"/>
    <w:rsid w:val="005F1E0E"/>
    <w:rsid w:val="005F1E22"/>
    <w:rsid w:val="005F236F"/>
    <w:rsid w:val="005F25FC"/>
    <w:rsid w:val="005F371D"/>
    <w:rsid w:val="005F49E9"/>
    <w:rsid w:val="005F4E28"/>
    <w:rsid w:val="005F5ED8"/>
    <w:rsid w:val="005F7B80"/>
    <w:rsid w:val="005F7D7E"/>
    <w:rsid w:val="0060026A"/>
    <w:rsid w:val="00600C86"/>
    <w:rsid w:val="00600FB7"/>
    <w:rsid w:val="006012F9"/>
    <w:rsid w:val="0060197C"/>
    <w:rsid w:val="0060248B"/>
    <w:rsid w:val="0060279D"/>
    <w:rsid w:val="0060384D"/>
    <w:rsid w:val="00604677"/>
    <w:rsid w:val="00604D73"/>
    <w:rsid w:val="0060532D"/>
    <w:rsid w:val="00606081"/>
    <w:rsid w:val="006060E6"/>
    <w:rsid w:val="00610267"/>
    <w:rsid w:val="006132DB"/>
    <w:rsid w:val="0061578A"/>
    <w:rsid w:val="0061625D"/>
    <w:rsid w:val="00616702"/>
    <w:rsid w:val="006168A0"/>
    <w:rsid w:val="00616EFD"/>
    <w:rsid w:val="0061783E"/>
    <w:rsid w:val="006206D0"/>
    <w:rsid w:val="006211A0"/>
    <w:rsid w:val="006214CC"/>
    <w:rsid w:val="006219DC"/>
    <w:rsid w:val="00621F10"/>
    <w:rsid w:val="006239F9"/>
    <w:rsid w:val="00623F86"/>
    <w:rsid w:val="00624570"/>
    <w:rsid w:val="00625F21"/>
    <w:rsid w:val="0062674F"/>
    <w:rsid w:val="00626CE0"/>
    <w:rsid w:val="006272BE"/>
    <w:rsid w:val="0062772B"/>
    <w:rsid w:val="00631344"/>
    <w:rsid w:val="00631381"/>
    <w:rsid w:val="00632168"/>
    <w:rsid w:val="00633E2F"/>
    <w:rsid w:val="00633EAC"/>
    <w:rsid w:val="00636871"/>
    <w:rsid w:val="00636F68"/>
    <w:rsid w:val="00637AAA"/>
    <w:rsid w:val="0064009D"/>
    <w:rsid w:val="00640B8C"/>
    <w:rsid w:val="00642347"/>
    <w:rsid w:val="00642FE9"/>
    <w:rsid w:val="006451B9"/>
    <w:rsid w:val="006452D3"/>
    <w:rsid w:val="0064550F"/>
    <w:rsid w:val="006456B4"/>
    <w:rsid w:val="00646013"/>
    <w:rsid w:val="006462A0"/>
    <w:rsid w:val="00647743"/>
    <w:rsid w:val="00650496"/>
    <w:rsid w:val="00650C99"/>
    <w:rsid w:val="00650E9E"/>
    <w:rsid w:val="0065176F"/>
    <w:rsid w:val="00651967"/>
    <w:rsid w:val="006530BF"/>
    <w:rsid w:val="00653149"/>
    <w:rsid w:val="00653B13"/>
    <w:rsid w:val="006545BE"/>
    <w:rsid w:val="00655051"/>
    <w:rsid w:val="00655196"/>
    <w:rsid w:val="006557BE"/>
    <w:rsid w:val="00656584"/>
    <w:rsid w:val="00656DA2"/>
    <w:rsid w:val="0065710C"/>
    <w:rsid w:val="0066071F"/>
    <w:rsid w:val="00660818"/>
    <w:rsid w:val="00661BDC"/>
    <w:rsid w:val="00662307"/>
    <w:rsid w:val="00662419"/>
    <w:rsid w:val="00662D4C"/>
    <w:rsid w:val="00663C99"/>
    <w:rsid w:val="00663DCE"/>
    <w:rsid w:val="00664F84"/>
    <w:rsid w:val="00666B04"/>
    <w:rsid w:val="0066717A"/>
    <w:rsid w:val="00670562"/>
    <w:rsid w:val="00670896"/>
    <w:rsid w:val="0067170B"/>
    <w:rsid w:val="00671CBE"/>
    <w:rsid w:val="00671EB1"/>
    <w:rsid w:val="00672ACA"/>
    <w:rsid w:val="00675087"/>
    <w:rsid w:val="006756ED"/>
    <w:rsid w:val="0067615C"/>
    <w:rsid w:val="00676D18"/>
    <w:rsid w:val="00677660"/>
    <w:rsid w:val="0068128A"/>
    <w:rsid w:val="00681A70"/>
    <w:rsid w:val="00681E9B"/>
    <w:rsid w:val="00682536"/>
    <w:rsid w:val="00683923"/>
    <w:rsid w:val="00683A5F"/>
    <w:rsid w:val="006842D2"/>
    <w:rsid w:val="006842F0"/>
    <w:rsid w:val="0068433E"/>
    <w:rsid w:val="006844CD"/>
    <w:rsid w:val="00686BB8"/>
    <w:rsid w:val="0068788E"/>
    <w:rsid w:val="00691450"/>
    <w:rsid w:val="00692A07"/>
    <w:rsid w:val="006933E4"/>
    <w:rsid w:val="00693834"/>
    <w:rsid w:val="00693EF1"/>
    <w:rsid w:val="0069442E"/>
    <w:rsid w:val="006967D4"/>
    <w:rsid w:val="006969B2"/>
    <w:rsid w:val="00696BF4"/>
    <w:rsid w:val="00697921"/>
    <w:rsid w:val="006A0B53"/>
    <w:rsid w:val="006A2893"/>
    <w:rsid w:val="006A4783"/>
    <w:rsid w:val="006A49BA"/>
    <w:rsid w:val="006A49D8"/>
    <w:rsid w:val="006A52B5"/>
    <w:rsid w:val="006A5E1E"/>
    <w:rsid w:val="006A5ED1"/>
    <w:rsid w:val="006A60F0"/>
    <w:rsid w:val="006A635B"/>
    <w:rsid w:val="006A71C8"/>
    <w:rsid w:val="006A7855"/>
    <w:rsid w:val="006A7CCB"/>
    <w:rsid w:val="006A7D9A"/>
    <w:rsid w:val="006B05C5"/>
    <w:rsid w:val="006B2197"/>
    <w:rsid w:val="006B2259"/>
    <w:rsid w:val="006B25BC"/>
    <w:rsid w:val="006B2CC0"/>
    <w:rsid w:val="006B3AEA"/>
    <w:rsid w:val="006B5B15"/>
    <w:rsid w:val="006B65B3"/>
    <w:rsid w:val="006B6BBF"/>
    <w:rsid w:val="006B6CAA"/>
    <w:rsid w:val="006B6F45"/>
    <w:rsid w:val="006B76C2"/>
    <w:rsid w:val="006B7B98"/>
    <w:rsid w:val="006B7C02"/>
    <w:rsid w:val="006B7CE9"/>
    <w:rsid w:val="006B7DAA"/>
    <w:rsid w:val="006C027B"/>
    <w:rsid w:val="006C07DF"/>
    <w:rsid w:val="006C197F"/>
    <w:rsid w:val="006C28F7"/>
    <w:rsid w:val="006C3D8B"/>
    <w:rsid w:val="006C3FBA"/>
    <w:rsid w:val="006C4269"/>
    <w:rsid w:val="006C4F4B"/>
    <w:rsid w:val="006C5697"/>
    <w:rsid w:val="006C6619"/>
    <w:rsid w:val="006D0B75"/>
    <w:rsid w:val="006D19EC"/>
    <w:rsid w:val="006D2E93"/>
    <w:rsid w:val="006D3459"/>
    <w:rsid w:val="006D3C74"/>
    <w:rsid w:val="006D42FF"/>
    <w:rsid w:val="006D4600"/>
    <w:rsid w:val="006D4CCF"/>
    <w:rsid w:val="006D5B24"/>
    <w:rsid w:val="006D5DDC"/>
    <w:rsid w:val="006D6E2A"/>
    <w:rsid w:val="006D7A0F"/>
    <w:rsid w:val="006D7BD9"/>
    <w:rsid w:val="006E13B0"/>
    <w:rsid w:val="006E35B8"/>
    <w:rsid w:val="006E367D"/>
    <w:rsid w:val="006E417B"/>
    <w:rsid w:val="006E5C70"/>
    <w:rsid w:val="006E5C7B"/>
    <w:rsid w:val="006E7B99"/>
    <w:rsid w:val="006E7C0A"/>
    <w:rsid w:val="006E7DC1"/>
    <w:rsid w:val="006F0003"/>
    <w:rsid w:val="006F021C"/>
    <w:rsid w:val="006F1019"/>
    <w:rsid w:val="006F1FE7"/>
    <w:rsid w:val="006F3542"/>
    <w:rsid w:val="006F42CD"/>
    <w:rsid w:val="006F5B7E"/>
    <w:rsid w:val="006F6461"/>
    <w:rsid w:val="006F6D1F"/>
    <w:rsid w:val="006F7A85"/>
    <w:rsid w:val="0070142C"/>
    <w:rsid w:val="00701F42"/>
    <w:rsid w:val="007035C2"/>
    <w:rsid w:val="00704386"/>
    <w:rsid w:val="007043F1"/>
    <w:rsid w:val="00704832"/>
    <w:rsid w:val="00704C1F"/>
    <w:rsid w:val="007050D4"/>
    <w:rsid w:val="007056CB"/>
    <w:rsid w:val="00706119"/>
    <w:rsid w:val="007062CA"/>
    <w:rsid w:val="0070638D"/>
    <w:rsid w:val="00706424"/>
    <w:rsid w:val="00711B59"/>
    <w:rsid w:val="00712334"/>
    <w:rsid w:val="007127CA"/>
    <w:rsid w:val="00712B2E"/>
    <w:rsid w:val="00713358"/>
    <w:rsid w:val="007144FC"/>
    <w:rsid w:val="0071473E"/>
    <w:rsid w:val="0071570F"/>
    <w:rsid w:val="00715882"/>
    <w:rsid w:val="0071651D"/>
    <w:rsid w:val="007166EA"/>
    <w:rsid w:val="00717AA3"/>
    <w:rsid w:val="00721793"/>
    <w:rsid w:val="00721AE3"/>
    <w:rsid w:val="00721C5E"/>
    <w:rsid w:val="00722E64"/>
    <w:rsid w:val="0072334A"/>
    <w:rsid w:val="00723D91"/>
    <w:rsid w:val="007247DA"/>
    <w:rsid w:val="00724B0E"/>
    <w:rsid w:val="0072613F"/>
    <w:rsid w:val="00727002"/>
    <w:rsid w:val="007271C8"/>
    <w:rsid w:val="00731B7F"/>
    <w:rsid w:val="00731ECF"/>
    <w:rsid w:val="007320FA"/>
    <w:rsid w:val="00732623"/>
    <w:rsid w:val="00732ABD"/>
    <w:rsid w:val="00732BBA"/>
    <w:rsid w:val="00733FA8"/>
    <w:rsid w:val="00734BFD"/>
    <w:rsid w:val="0073517F"/>
    <w:rsid w:val="0073568B"/>
    <w:rsid w:val="00735DD3"/>
    <w:rsid w:val="00735F86"/>
    <w:rsid w:val="00736E1D"/>
    <w:rsid w:val="00736FE0"/>
    <w:rsid w:val="007376A9"/>
    <w:rsid w:val="007409FF"/>
    <w:rsid w:val="00741923"/>
    <w:rsid w:val="007429FD"/>
    <w:rsid w:val="00742A8E"/>
    <w:rsid w:val="00742E72"/>
    <w:rsid w:val="00742FBA"/>
    <w:rsid w:val="0074347A"/>
    <w:rsid w:val="00743837"/>
    <w:rsid w:val="00744124"/>
    <w:rsid w:val="007453AE"/>
    <w:rsid w:val="007453F6"/>
    <w:rsid w:val="0074550E"/>
    <w:rsid w:val="00745660"/>
    <w:rsid w:val="0074713E"/>
    <w:rsid w:val="00747540"/>
    <w:rsid w:val="007479F2"/>
    <w:rsid w:val="00750F55"/>
    <w:rsid w:val="0075101B"/>
    <w:rsid w:val="007515AF"/>
    <w:rsid w:val="00751C86"/>
    <w:rsid w:val="00752C1F"/>
    <w:rsid w:val="00753EF5"/>
    <w:rsid w:val="007544BC"/>
    <w:rsid w:val="00754730"/>
    <w:rsid w:val="007556C5"/>
    <w:rsid w:val="00757B29"/>
    <w:rsid w:val="00760A2A"/>
    <w:rsid w:val="007618AD"/>
    <w:rsid w:val="00761C01"/>
    <w:rsid w:val="00761EC6"/>
    <w:rsid w:val="00762503"/>
    <w:rsid w:val="007632FF"/>
    <w:rsid w:val="00763EC2"/>
    <w:rsid w:val="00764C1D"/>
    <w:rsid w:val="00765D26"/>
    <w:rsid w:val="00766F1D"/>
    <w:rsid w:val="00767829"/>
    <w:rsid w:val="00767DDC"/>
    <w:rsid w:val="007703EE"/>
    <w:rsid w:val="00771109"/>
    <w:rsid w:val="0077190F"/>
    <w:rsid w:val="00771AD8"/>
    <w:rsid w:val="00772B60"/>
    <w:rsid w:val="007758DE"/>
    <w:rsid w:val="0077675E"/>
    <w:rsid w:val="00780D0A"/>
    <w:rsid w:val="0078153F"/>
    <w:rsid w:val="007815E9"/>
    <w:rsid w:val="00783332"/>
    <w:rsid w:val="00785925"/>
    <w:rsid w:val="0078736B"/>
    <w:rsid w:val="0078781A"/>
    <w:rsid w:val="00787B13"/>
    <w:rsid w:val="00787C2B"/>
    <w:rsid w:val="00787EE0"/>
    <w:rsid w:val="00790E3B"/>
    <w:rsid w:val="0079129C"/>
    <w:rsid w:val="0079218D"/>
    <w:rsid w:val="007922E3"/>
    <w:rsid w:val="00794B4E"/>
    <w:rsid w:val="00795301"/>
    <w:rsid w:val="00796BE2"/>
    <w:rsid w:val="0079793E"/>
    <w:rsid w:val="00797DF8"/>
    <w:rsid w:val="007A074F"/>
    <w:rsid w:val="007A097F"/>
    <w:rsid w:val="007A101F"/>
    <w:rsid w:val="007A1B29"/>
    <w:rsid w:val="007A2859"/>
    <w:rsid w:val="007A2E70"/>
    <w:rsid w:val="007A309A"/>
    <w:rsid w:val="007A3AE3"/>
    <w:rsid w:val="007A48C8"/>
    <w:rsid w:val="007A5092"/>
    <w:rsid w:val="007A5C13"/>
    <w:rsid w:val="007A5E58"/>
    <w:rsid w:val="007A5E84"/>
    <w:rsid w:val="007A6535"/>
    <w:rsid w:val="007A664E"/>
    <w:rsid w:val="007A6C07"/>
    <w:rsid w:val="007A6CF7"/>
    <w:rsid w:val="007A784E"/>
    <w:rsid w:val="007B0BFB"/>
    <w:rsid w:val="007B14D9"/>
    <w:rsid w:val="007B1A14"/>
    <w:rsid w:val="007B2E5D"/>
    <w:rsid w:val="007B37F7"/>
    <w:rsid w:val="007B481F"/>
    <w:rsid w:val="007B48B8"/>
    <w:rsid w:val="007B50BE"/>
    <w:rsid w:val="007B5A18"/>
    <w:rsid w:val="007B6A19"/>
    <w:rsid w:val="007B7474"/>
    <w:rsid w:val="007C1043"/>
    <w:rsid w:val="007C10E0"/>
    <w:rsid w:val="007C1307"/>
    <w:rsid w:val="007C1497"/>
    <w:rsid w:val="007C1556"/>
    <w:rsid w:val="007C1566"/>
    <w:rsid w:val="007C1848"/>
    <w:rsid w:val="007C1B1E"/>
    <w:rsid w:val="007C216C"/>
    <w:rsid w:val="007C220B"/>
    <w:rsid w:val="007C2F76"/>
    <w:rsid w:val="007C2FAE"/>
    <w:rsid w:val="007C3406"/>
    <w:rsid w:val="007C39A8"/>
    <w:rsid w:val="007C528F"/>
    <w:rsid w:val="007C5666"/>
    <w:rsid w:val="007C6BAA"/>
    <w:rsid w:val="007C7AD2"/>
    <w:rsid w:val="007D065E"/>
    <w:rsid w:val="007D0874"/>
    <w:rsid w:val="007D08D1"/>
    <w:rsid w:val="007D149A"/>
    <w:rsid w:val="007D36DC"/>
    <w:rsid w:val="007D3B12"/>
    <w:rsid w:val="007D41D8"/>
    <w:rsid w:val="007D42F6"/>
    <w:rsid w:val="007D4338"/>
    <w:rsid w:val="007D4BF0"/>
    <w:rsid w:val="007D54A2"/>
    <w:rsid w:val="007D60BA"/>
    <w:rsid w:val="007D6F8C"/>
    <w:rsid w:val="007D74B3"/>
    <w:rsid w:val="007E013D"/>
    <w:rsid w:val="007E07D8"/>
    <w:rsid w:val="007E0BF4"/>
    <w:rsid w:val="007E0E67"/>
    <w:rsid w:val="007E10A2"/>
    <w:rsid w:val="007E199A"/>
    <w:rsid w:val="007E1C36"/>
    <w:rsid w:val="007E1E39"/>
    <w:rsid w:val="007E5292"/>
    <w:rsid w:val="007E56B7"/>
    <w:rsid w:val="007E5A48"/>
    <w:rsid w:val="007E63C3"/>
    <w:rsid w:val="007E64B2"/>
    <w:rsid w:val="007F27A2"/>
    <w:rsid w:val="007F29CE"/>
    <w:rsid w:val="007F3F04"/>
    <w:rsid w:val="007F4048"/>
    <w:rsid w:val="007F4807"/>
    <w:rsid w:val="007F4B78"/>
    <w:rsid w:val="007F564D"/>
    <w:rsid w:val="007F5678"/>
    <w:rsid w:val="007F5FCA"/>
    <w:rsid w:val="007F6FCE"/>
    <w:rsid w:val="007F7E68"/>
    <w:rsid w:val="007F7E94"/>
    <w:rsid w:val="00801A56"/>
    <w:rsid w:val="00801D5D"/>
    <w:rsid w:val="00803B73"/>
    <w:rsid w:val="00804939"/>
    <w:rsid w:val="00805AE7"/>
    <w:rsid w:val="00805AF9"/>
    <w:rsid w:val="00806847"/>
    <w:rsid w:val="00806AEC"/>
    <w:rsid w:val="008075A6"/>
    <w:rsid w:val="008075B1"/>
    <w:rsid w:val="00807FC6"/>
    <w:rsid w:val="008118F7"/>
    <w:rsid w:val="00811A2B"/>
    <w:rsid w:val="00811C51"/>
    <w:rsid w:val="00811D16"/>
    <w:rsid w:val="00811EBC"/>
    <w:rsid w:val="00813A6E"/>
    <w:rsid w:val="00814083"/>
    <w:rsid w:val="0081489B"/>
    <w:rsid w:val="008149E4"/>
    <w:rsid w:val="00814B8C"/>
    <w:rsid w:val="00815B19"/>
    <w:rsid w:val="00815C22"/>
    <w:rsid w:val="00816744"/>
    <w:rsid w:val="008167A8"/>
    <w:rsid w:val="008179D9"/>
    <w:rsid w:val="00820033"/>
    <w:rsid w:val="0082011B"/>
    <w:rsid w:val="008202F7"/>
    <w:rsid w:val="0082231F"/>
    <w:rsid w:val="008239F9"/>
    <w:rsid w:val="00824232"/>
    <w:rsid w:val="008245A8"/>
    <w:rsid w:val="00830302"/>
    <w:rsid w:val="00830554"/>
    <w:rsid w:val="008308C9"/>
    <w:rsid w:val="00831A7A"/>
    <w:rsid w:val="0083267A"/>
    <w:rsid w:val="008338A9"/>
    <w:rsid w:val="00834751"/>
    <w:rsid w:val="00835581"/>
    <w:rsid w:val="00835703"/>
    <w:rsid w:val="0083584A"/>
    <w:rsid w:val="00835CF1"/>
    <w:rsid w:val="00836D16"/>
    <w:rsid w:val="008376E8"/>
    <w:rsid w:val="00837A3A"/>
    <w:rsid w:val="00840600"/>
    <w:rsid w:val="00842B08"/>
    <w:rsid w:val="00842C77"/>
    <w:rsid w:val="00843653"/>
    <w:rsid w:val="008438C8"/>
    <w:rsid w:val="00843A0D"/>
    <w:rsid w:val="0084417D"/>
    <w:rsid w:val="00844652"/>
    <w:rsid w:val="00844DC2"/>
    <w:rsid w:val="0084617B"/>
    <w:rsid w:val="008468A0"/>
    <w:rsid w:val="00846AEC"/>
    <w:rsid w:val="00846CF0"/>
    <w:rsid w:val="00846EBD"/>
    <w:rsid w:val="008472A6"/>
    <w:rsid w:val="00850084"/>
    <w:rsid w:val="008503CF"/>
    <w:rsid w:val="00850ED3"/>
    <w:rsid w:val="008510C6"/>
    <w:rsid w:val="00851485"/>
    <w:rsid w:val="008524F3"/>
    <w:rsid w:val="008557CE"/>
    <w:rsid w:val="00855E50"/>
    <w:rsid w:val="00856412"/>
    <w:rsid w:val="00856492"/>
    <w:rsid w:val="00857246"/>
    <w:rsid w:val="008601C4"/>
    <w:rsid w:val="00860A55"/>
    <w:rsid w:val="00860CE6"/>
    <w:rsid w:val="00861461"/>
    <w:rsid w:val="00861A0B"/>
    <w:rsid w:val="008631C3"/>
    <w:rsid w:val="00863A82"/>
    <w:rsid w:val="00863AF1"/>
    <w:rsid w:val="00863D22"/>
    <w:rsid w:val="00865412"/>
    <w:rsid w:val="00865532"/>
    <w:rsid w:val="0086742C"/>
    <w:rsid w:val="008705AD"/>
    <w:rsid w:val="00870775"/>
    <w:rsid w:val="008711ED"/>
    <w:rsid w:val="008712CB"/>
    <w:rsid w:val="00871644"/>
    <w:rsid w:val="00872100"/>
    <w:rsid w:val="00873F1A"/>
    <w:rsid w:val="0087471E"/>
    <w:rsid w:val="00874C20"/>
    <w:rsid w:val="00875034"/>
    <w:rsid w:val="008751CE"/>
    <w:rsid w:val="008753D2"/>
    <w:rsid w:val="0087560C"/>
    <w:rsid w:val="008759D2"/>
    <w:rsid w:val="00877B38"/>
    <w:rsid w:val="00877BCF"/>
    <w:rsid w:val="00880547"/>
    <w:rsid w:val="00880D7F"/>
    <w:rsid w:val="008810ED"/>
    <w:rsid w:val="008812E7"/>
    <w:rsid w:val="0088199E"/>
    <w:rsid w:val="00883BC4"/>
    <w:rsid w:val="008842A6"/>
    <w:rsid w:val="008851FA"/>
    <w:rsid w:val="00885CA3"/>
    <w:rsid w:val="00891071"/>
    <w:rsid w:val="00891C7D"/>
    <w:rsid w:val="00891D0F"/>
    <w:rsid w:val="0089427E"/>
    <w:rsid w:val="008955CC"/>
    <w:rsid w:val="008964D2"/>
    <w:rsid w:val="008A0147"/>
    <w:rsid w:val="008A46C3"/>
    <w:rsid w:val="008A4D8A"/>
    <w:rsid w:val="008A5B95"/>
    <w:rsid w:val="008A606C"/>
    <w:rsid w:val="008A6E01"/>
    <w:rsid w:val="008A6E18"/>
    <w:rsid w:val="008A715B"/>
    <w:rsid w:val="008A74A4"/>
    <w:rsid w:val="008A79BD"/>
    <w:rsid w:val="008B38CC"/>
    <w:rsid w:val="008B5A2F"/>
    <w:rsid w:val="008B5D62"/>
    <w:rsid w:val="008B652B"/>
    <w:rsid w:val="008B6EE2"/>
    <w:rsid w:val="008B7EB1"/>
    <w:rsid w:val="008B7F77"/>
    <w:rsid w:val="008C16EE"/>
    <w:rsid w:val="008C1845"/>
    <w:rsid w:val="008C1DE6"/>
    <w:rsid w:val="008C3497"/>
    <w:rsid w:val="008C3BA2"/>
    <w:rsid w:val="008C4112"/>
    <w:rsid w:val="008C4A5C"/>
    <w:rsid w:val="008C5510"/>
    <w:rsid w:val="008C5D08"/>
    <w:rsid w:val="008C6E08"/>
    <w:rsid w:val="008C79AF"/>
    <w:rsid w:val="008D00B2"/>
    <w:rsid w:val="008D032C"/>
    <w:rsid w:val="008D060D"/>
    <w:rsid w:val="008D097E"/>
    <w:rsid w:val="008D1499"/>
    <w:rsid w:val="008D1F46"/>
    <w:rsid w:val="008D2195"/>
    <w:rsid w:val="008D2216"/>
    <w:rsid w:val="008D3B77"/>
    <w:rsid w:val="008D45BF"/>
    <w:rsid w:val="008D4BCF"/>
    <w:rsid w:val="008D4C8C"/>
    <w:rsid w:val="008D504D"/>
    <w:rsid w:val="008D568B"/>
    <w:rsid w:val="008D5964"/>
    <w:rsid w:val="008D5AF5"/>
    <w:rsid w:val="008D764F"/>
    <w:rsid w:val="008D7768"/>
    <w:rsid w:val="008E023F"/>
    <w:rsid w:val="008E030A"/>
    <w:rsid w:val="008E064F"/>
    <w:rsid w:val="008E0AF7"/>
    <w:rsid w:val="008E1A01"/>
    <w:rsid w:val="008E1DB4"/>
    <w:rsid w:val="008E3B38"/>
    <w:rsid w:val="008E3FCE"/>
    <w:rsid w:val="008E42DF"/>
    <w:rsid w:val="008E46E3"/>
    <w:rsid w:val="008E4FE7"/>
    <w:rsid w:val="008E6FB2"/>
    <w:rsid w:val="008E73C4"/>
    <w:rsid w:val="008F0326"/>
    <w:rsid w:val="008F067C"/>
    <w:rsid w:val="008F0B3C"/>
    <w:rsid w:val="008F0CC7"/>
    <w:rsid w:val="008F15FA"/>
    <w:rsid w:val="008F1F04"/>
    <w:rsid w:val="008F1F05"/>
    <w:rsid w:val="008F23A0"/>
    <w:rsid w:val="008F2E15"/>
    <w:rsid w:val="008F32F2"/>
    <w:rsid w:val="008F336C"/>
    <w:rsid w:val="008F3A5C"/>
    <w:rsid w:val="008F3B7B"/>
    <w:rsid w:val="008F3FC4"/>
    <w:rsid w:val="008F419F"/>
    <w:rsid w:val="008F460D"/>
    <w:rsid w:val="008F79B2"/>
    <w:rsid w:val="008F7DF9"/>
    <w:rsid w:val="009007AB"/>
    <w:rsid w:val="009025D7"/>
    <w:rsid w:val="0090313C"/>
    <w:rsid w:val="00904168"/>
    <w:rsid w:val="00904983"/>
    <w:rsid w:val="0090598F"/>
    <w:rsid w:val="009068F3"/>
    <w:rsid w:val="00906D1A"/>
    <w:rsid w:val="009076CA"/>
    <w:rsid w:val="00911F74"/>
    <w:rsid w:val="00912B20"/>
    <w:rsid w:val="0091336E"/>
    <w:rsid w:val="009136E7"/>
    <w:rsid w:val="00913AE2"/>
    <w:rsid w:val="00914825"/>
    <w:rsid w:val="00915568"/>
    <w:rsid w:val="009157BC"/>
    <w:rsid w:val="00916066"/>
    <w:rsid w:val="0091613E"/>
    <w:rsid w:val="00916EDF"/>
    <w:rsid w:val="009175E5"/>
    <w:rsid w:val="00920A9C"/>
    <w:rsid w:val="009213AB"/>
    <w:rsid w:val="00921A62"/>
    <w:rsid w:val="009224BB"/>
    <w:rsid w:val="009229C9"/>
    <w:rsid w:val="0092359F"/>
    <w:rsid w:val="009243FB"/>
    <w:rsid w:val="00924967"/>
    <w:rsid w:val="0092579A"/>
    <w:rsid w:val="00931180"/>
    <w:rsid w:val="00932025"/>
    <w:rsid w:val="00932248"/>
    <w:rsid w:val="009324B4"/>
    <w:rsid w:val="009324EB"/>
    <w:rsid w:val="00933040"/>
    <w:rsid w:val="00933463"/>
    <w:rsid w:val="00934FD6"/>
    <w:rsid w:val="00936D2E"/>
    <w:rsid w:val="009404DD"/>
    <w:rsid w:val="00940EC3"/>
    <w:rsid w:val="00941743"/>
    <w:rsid w:val="00942CE9"/>
    <w:rsid w:val="009431B1"/>
    <w:rsid w:val="009437FD"/>
    <w:rsid w:val="0094412D"/>
    <w:rsid w:val="0094477A"/>
    <w:rsid w:val="00944C64"/>
    <w:rsid w:val="009455F7"/>
    <w:rsid w:val="00945F8C"/>
    <w:rsid w:val="00946A51"/>
    <w:rsid w:val="00947388"/>
    <w:rsid w:val="00947FCA"/>
    <w:rsid w:val="009514BC"/>
    <w:rsid w:val="0095236C"/>
    <w:rsid w:val="00954447"/>
    <w:rsid w:val="00954A7B"/>
    <w:rsid w:val="00955397"/>
    <w:rsid w:val="0095668D"/>
    <w:rsid w:val="00956C25"/>
    <w:rsid w:val="00957D2F"/>
    <w:rsid w:val="00957DBC"/>
    <w:rsid w:val="0096004B"/>
    <w:rsid w:val="009603B5"/>
    <w:rsid w:val="00961CB9"/>
    <w:rsid w:val="009628EE"/>
    <w:rsid w:val="00962B19"/>
    <w:rsid w:val="009635C2"/>
    <w:rsid w:val="00963704"/>
    <w:rsid w:val="0096454A"/>
    <w:rsid w:val="00965563"/>
    <w:rsid w:val="00965688"/>
    <w:rsid w:val="0096646F"/>
    <w:rsid w:val="009674DD"/>
    <w:rsid w:val="00972B29"/>
    <w:rsid w:val="00972BBA"/>
    <w:rsid w:val="00972DE8"/>
    <w:rsid w:val="00973322"/>
    <w:rsid w:val="00973E08"/>
    <w:rsid w:val="00973F99"/>
    <w:rsid w:val="0097458C"/>
    <w:rsid w:val="009747BD"/>
    <w:rsid w:val="00974C67"/>
    <w:rsid w:val="00974EDF"/>
    <w:rsid w:val="0097513E"/>
    <w:rsid w:val="009762A3"/>
    <w:rsid w:val="00976B6D"/>
    <w:rsid w:val="00977E5E"/>
    <w:rsid w:val="00980E92"/>
    <w:rsid w:val="00980F25"/>
    <w:rsid w:val="00981031"/>
    <w:rsid w:val="0098294A"/>
    <w:rsid w:val="009835A4"/>
    <w:rsid w:val="009851CB"/>
    <w:rsid w:val="0098531E"/>
    <w:rsid w:val="009864D7"/>
    <w:rsid w:val="00986CCD"/>
    <w:rsid w:val="00987D18"/>
    <w:rsid w:val="00990C33"/>
    <w:rsid w:val="00990EE0"/>
    <w:rsid w:val="00991D5B"/>
    <w:rsid w:val="00994298"/>
    <w:rsid w:val="00994C75"/>
    <w:rsid w:val="0099560A"/>
    <w:rsid w:val="009963C0"/>
    <w:rsid w:val="00996953"/>
    <w:rsid w:val="00996B72"/>
    <w:rsid w:val="0099727D"/>
    <w:rsid w:val="00997758"/>
    <w:rsid w:val="009A0130"/>
    <w:rsid w:val="009A0637"/>
    <w:rsid w:val="009A0BE7"/>
    <w:rsid w:val="009A12DF"/>
    <w:rsid w:val="009A2409"/>
    <w:rsid w:val="009A4A06"/>
    <w:rsid w:val="009A5811"/>
    <w:rsid w:val="009A6179"/>
    <w:rsid w:val="009A61C9"/>
    <w:rsid w:val="009A61EC"/>
    <w:rsid w:val="009A7BE5"/>
    <w:rsid w:val="009A7D5F"/>
    <w:rsid w:val="009B014A"/>
    <w:rsid w:val="009B0E4D"/>
    <w:rsid w:val="009B1093"/>
    <w:rsid w:val="009B16F6"/>
    <w:rsid w:val="009B1A48"/>
    <w:rsid w:val="009B36F5"/>
    <w:rsid w:val="009B37F6"/>
    <w:rsid w:val="009B5CBF"/>
    <w:rsid w:val="009B6774"/>
    <w:rsid w:val="009B68FE"/>
    <w:rsid w:val="009B7170"/>
    <w:rsid w:val="009B7A83"/>
    <w:rsid w:val="009C0FDC"/>
    <w:rsid w:val="009C10EA"/>
    <w:rsid w:val="009C2172"/>
    <w:rsid w:val="009C24A7"/>
    <w:rsid w:val="009C2A8A"/>
    <w:rsid w:val="009C2D8A"/>
    <w:rsid w:val="009C3AFA"/>
    <w:rsid w:val="009C3D43"/>
    <w:rsid w:val="009C3EEE"/>
    <w:rsid w:val="009C4494"/>
    <w:rsid w:val="009C5185"/>
    <w:rsid w:val="009C5323"/>
    <w:rsid w:val="009C5DF0"/>
    <w:rsid w:val="009C6009"/>
    <w:rsid w:val="009C654B"/>
    <w:rsid w:val="009C67B2"/>
    <w:rsid w:val="009C7316"/>
    <w:rsid w:val="009C767C"/>
    <w:rsid w:val="009C7B6A"/>
    <w:rsid w:val="009C7FDE"/>
    <w:rsid w:val="009D02CB"/>
    <w:rsid w:val="009D0898"/>
    <w:rsid w:val="009D12E3"/>
    <w:rsid w:val="009D1906"/>
    <w:rsid w:val="009D2D26"/>
    <w:rsid w:val="009D3648"/>
    <w:rsid w:val="009D3B34"/>
    <w:rsid w:val="009D4422"/>
    <w:rsid w:val="009D450E"/>
    <w:rsid w:val="009D48A5"/>
    <w:rsid w:val="009D4C84"/>
    <w:rsid w:val="009D5738"/>
    <w:rsid w:val="009E00EB"/>
    <w:rsid w:val="009E0BA2"/>
    <w:rsid w:val="009E1FDD"/>
    <w:rsid w:val="009E345E"/>
    <w:rsid w:val="009E3B6B"/>
    <w:rsid w:val="009E45F4"/>
    <w:rsid w:val="009E5B41"/>
    <w:rsid w:val="009E67F6"/>
    <w:rsid w:val="009E76E7"/>
    <w:rsid w:val="009E7CA6"/>
    <w:rsid w:val="009E7D48"/>
    <w:rsid w:val="009F1E77"/>
    <w:rsid w:val="009F35C0"/>
    <w:rsid w:val="009F3FE8"/>
    <w:rsid w:val="009F4EA1"/>
    <w:rsid w:val="009F523F"/>
    <w:rsid w:val="009F7200"/>
    <w:rsid w:val="009F776B"/>
    <w:rsid w:val="00A003FD"/>
    <w:rsid w:val="00A013DC"/>
    <w:rsid w:val="00A01CD1"/>
    <w:rsid w:val="00A01EC8"/>
    <w:rsid w:val="00A0208E"/>
    <w:rsid w:val="00A02285"/>
    <w:rsid w:val="00A03CA4"/>
    <w:rsid w:val="00A04B67"/>
    <w:rsid w:val="00A05BD7"/>
    <w:rsid w:val="00A07491"/>
    <w:rsid w:val="00A103B7"/>
    <w:rsid w:val="00A10739"/>
    <w:rsid w:val="00A10D42"/>
    <w:rsid w:val="00A12519"/>
    <w:rsid w:val="00A1332E"/>
    <w:rsid w:val="00A147B8"/>
    <w:rsid w:val="00A1518A"/>
    <w:rsid w:val="00A15212"/>
    <w:rsid w:val="00A165B2"/>
    <w:rsid w:val="00A17411"/>
    <w:rsid w:val="00A17725"/>
    <w:rsid w:val="00A17CC6"/>
    <w:rsid w:val="00A218E5"/>
    <w:rsid w:val="00A21D91"/>
    <w:rsid w:val="00A21FC0"/>
    <w:rsid w:val="00A2256D"/>
    <w:rsid w:val="00A22AC3"/>
    <w:rsid w:val="00A22F78"/>
    <w:rsid w:val="00A23CEA"/>
    <w:rsid w:val="00A23D5B"/>
    <w:rsid w:val="00A2610D"/>
    <w:rsid w:val="00A267E2"/>
    <w:rsid w:val="00A277F5"/>
    <w:rsid w:val="00A30143"/>
    <w:rsid w:val="00A32671"/>
    <w:rsid w:val="00A32A7A"/>
    <w:rsid w:val="00A3312D"/>
    <w:rsid w:val="00A33398"/>
    <w:rsid w:val="00A34EB4"/>
    <w:rsid w:val="00A356C1"/>
    <w:rsid w:val="00A36C8E"/>
    <w:rsid w:val="00A37575"/>
    <w:rsid w:val="00A4033B"/>
    <w:rsid w:val="00A41AD7"/>
    <w:rsid w:val="00A422F8"/>
    <w:rsid w:val="00A4278B"/>
    <w:rsid w:val="00A42E59"/>
    <w:rsid w:val="00A43BDD"/>
    <w:rsid w:val="00A44237"/>
    <w:rsid w:val="00A44582"/>
    <w:rsid w:val="00A44D39"/>
    <w:rsid w:val="00A450C9"/>
    <w:rsid w:val="00A45430"/>
    <w:rsid w:val="00A45666"/>
    <w:rsid w:val="00A45B3E"/>
    <w:rsid w:val="00A4603B"/>
    <w:rsid w:val="00A47035"/>
    <w:rsid w:val="00A50AB9"/>
    <w:rsid w:val="00A50DE0"/>
    <w:rsid w:val="00A5105F"/>
    <w:rsid w:val="00A51F59"/>
    <w:rsid w:val="00A53200"/>
    <w:rsid w:val="00A53680"/>
    <w:rsid w:val="00A53792"/>
    <w:rsid w:val="00A568F4"/>
    <w:rsid w:val="00A570AE"/>
    <w:rsid w:val="00A578FC"/>
    <w:rsid w:val="00A6008E"/>
    <w:rsid w:val="00A60288"/>
    <w:rsid w:val="00A6178B"/>
    <w:rsid w:val="00A630A1"/>
    <w:rsid w:val="00A6346C"/>
    <w:rsid w:val="00A65BF4"/>
    <w:rsid w:val="00A65DBC"/>
    <w:rsid w:val="00A663AF"/>
    <w:rsid w:val="00A66DAF"/>
    <w:rsid w:val="00A676A1"/>
    <w:rsid w:val="00A67970"/>
    <w:rsid w:val="00A67C6C"/>
    <w:rsid w:val="00A67CE4"/>
    <w:rsid w:val="00A67DDB"/>
    <w:rsid w:val="00A67DFA"/>
    <w:rsid w:val="00A70F42"/>
    <w:rsid w:val="00A713B2"/>
    <w:rsid w:val="00A717D2"/>
    <w:rsid w:val="00A74E44"/>
    <w:rsid w:val="00A755E5"/>
    <w:rsid w:val="00A75E86"/>
    <w:rsid w:val="00A763EF"/>
    <w:rsid w:val="00A80446"/>
    <w:rsid w:val="00A804A4"/>
    <w:rsid w:val="00A80CC2"/>
    <w:rsid w:val="00A814AC"/>
    <w:rsid w:val="00A8192D"/>
    <w:rsid w:val="00A82346"/>
    <w:rsid w:val="00A82FDE"/>
    <w:rsid w:val="00A85D3C"/>
    <w:rsid w:val="00A86150"/>
    <w:rsid w:val="00A86AC1"/>
    <w:rsid w:val="00A86C82"/>
    <w:rsid w:val="00A92433"/>
    <w:rsid w:val="00A92B40"/>
    <w:rsid w:val="00A92C15"/>
    <w:rsid w:val="00A946B4"/>
    <w:rsid w:val="00A95D24"/>
    <w:rsid w:val="00A96136"/>
    <w:rsid w:val="00A965FA"/>
    <w:rsid w:val="00A96F0B"/>
    <w:rsid w:val="00AA09DA"/>
    <w:rsid w:val="00AA0BF0"/>
    <w:rsid w:val="00AA241C"/>
    <w:rsid w:val="00AA3433"/>
    <w:rsid w:val="00AA4CC6"/>
    <w:rsid w:val="00AA5FD0"/>
    <w:rsid w:val="00AA73A0"/>
    <w:rsid w:val="00AB0146"/>
    <w:rsid w:val="00AB1903"/>
    <w:rsid w:val="00AB2740"/>
    <w:rsid w:val="00AB32D3"/>
    <w:rsid w:val="00AB365E"/>
    <w:rsid w:val="00AB449F"/>
    <w:rsid w:val="00AB46BF"/>
    <w:rsid w:val="00AB55F5"/>
    <w:rsid w:val="00AB63AE"/>
    <w:rsid w:val="00AB6764"/>
    <w:rsid w:val="00AB70B4"/>
    <w:rsid w:val="00AC022E"/>
    <w:rsid w:val="00AC0F46"/>
    <w:rsid w:val="00AC16A2"/>
    <w:rsid w:val="00AC18B1"/>
    <w:rsid w:val="00AC1918"/>
    <w:rsid w:val="00AC43EC"/>
    <w:rsid w:val="00AC58E2"/>
    <w:rsid w:val="00AC6530"/>
    <w:rsid w:val="00AC70EC"/>
    <w:rsid w:val="00AD156B"/>
    <w:rsid w:val="00AD1571"/>
    <w:rsid w:val="00AD17B1"/>
    <w:rsid w:val="00AD1D35"/>
    <w:rsid w:val="00AD1E83"/>
    <w:rsid w:val="00AD4C4E"/>
    <w:rsid w:val="00AD5027"/>
    <w:rsid w:val="00AD59B9"/>
    <w:rsid w:val="00AD5CFF"/>
    <w:rsid w:val="00AD6B32"/>
    <w:rsid w:val="00AD7166"/>
    <w:rsid w:val="00AE0A7F"/>
    <w:rsid w:val="00AE19C5"/>
    <w:rsid w:val="00AE25A9"/>
    <w:rsid w:val="00AE2634"/>
    <w:rsid w:val="00AE3080"/>
    <w:rsid w:val="00AE30D3"/>
    <w:rsid w:val="00AE3611"/>
    <w:rsid w:val="00AE49DD"/>
    <w:rsid w:val="00AE55DA"/>
    <w:rsid w:val="00AE63CF"/>
    <w:rsid w:val="00AE65C6"/>
    <w:rsid w:val="00AE65EE"/>
    <w:rsid w:val="00AE7812"/>
    <w:rsid w:val="00AF02E5"/>
    <w:rsid w:val="00AF09E2"/>
    <w:rsid w:val="00AF0C84"/>
    <w:rsid w:val="00AF1BF9"/>
    <w:rsid w:val="00AF236E"/>
    <w:rsid w:val="00AF28BA"/>
    <w:rsid w:val="00AF3486"/>
    <w:rsid w:val="00AF4669"/>
    <w:rsid w:val="00AF5BBF"/>
    <w:rsid w:val="00AF6516"/>
    <w:rsid w:val="00AF66E1"/>
    <w:rsid w:val="00AF69D4"/>
    <w:rsid w:val="00AF6A89"/>
    <w:rsid w:val="00AF6FB3"/>
    <w:rsid w:val="00B0239A"/>
    <w:rsid w:val="00B04C1F"/>
    <w:rsid w:val="00B05964"/>
    <w:rsid w:val="00B06634"/>
    <w:rsid w:val="00B07615"/>
    <w:rsid w:val="00B1094D"/>
    <w:rsid w:val="00B1139F"/>
    <w:rsid w:val="00B116E8"/>
    <w:rsid w:val="00B12582"/>
    <w:rsid w:val="00B13113"/>
    <w:rsid w:val="00B136D0"/>
    <w:rsid w:val="00B138F8"/>
    <w:rsid w:val="00B1441D"/>
    <w:rsid w:val="00B14474"/>
    <w:rsid w:val="00B14FFD"/>
    <w:rsid w:val="00B15C89"/>
    <w:rsid w:val="00B17CAC"/>
    <w:rsid w:val="00B17E65"/>
    <w:rsid w:val="00B2196E"/>
    <w:rsid w:val="00B32AEC"/>
    <w:rsid w:val="00B33581"/>
    <w:rsid w:val="00B337C0"/>
    <w:rsid w:val="00B338A9"/>
    <w:rsid w:val="00B33DB9"/>
    <w:rsid w:val="00B341DE"/>
    <w:rsid w:val="00B34ED3"/>
    <w:rsid w:val="00B3509C"/>
    <w:rsid w:val="00B35808"/>
    <w:rsid w:val="00B35983"/>
    <w:rsid w:val="00B367E8"/>
    <w:rsid w:val="00B36BC0"/>
    <w:rsid w:val="00B36CBB"/>
    <w:rsid w:val="00B3724E"/>
    <w:rsid w:val="00B373B3"/>
    <w:rsid w:val="00B400B2"/>
    <w:rsid w:val="00B401D1"/>
    <w:rsid w:val="00B4087C"/>
    <w:rsid w:val="00B40FD0"/>
    <w:rsid w:val="00B41FE8"/>
    <w:rsid w:val="00B4300C"/>
    <w:rsid w:val="00B44389"/>
    <w:rsid w:val="00B44B58"/>
    <w:rsid w:val="00B44FC7"/>
    <w:rsid w:val="00B452B9"/>
    <w:rsid w:val="00B4682C"/>
    <w:rsid w:val="00B47300"/>
    <w:rsid w:val="00B5092B"/>
    <w:rsid w:val="00B50C75"/>
    <w:rsid w:val="00B50D08"/>
    <w:rsid w:val="00B50D39"/>
    <w:rsid w:val="00B51381"/>
    <w:rsid w:val="00B521CA"/>
    <w:rsid w:val="00B53167"/>
    <w:rsid w:val="00B53325"/>
    <w:rsid w:val="00B53B4F"/>
    <w:rsid w:val="00B546DD"/>
    <w:rsid w:val="00B54935"/>
    <w:rsid w:val="00B54D5C"/>
    <w:rsid w:val="00B551CA"/>
    <w:rsid w:val="00B555DB"/>
    <w:rsid w:val="00B560E0"/>
    <w:rsid w:val="00B565C5"/>
    <w:rsid w:val="00B5798A"/>
    <w:rsid w:val="00B611DE"/>
    <w:rsid w:val="00B611ED"/>
    <w:rsid w:val="00B6128E"/>
    <w:rsid w:val="00B6185D"/>
    <w:rsid w:val="00B6426F"/>
    <w:rsid w:val="00B6450B"/>
    <w:rsid w:val="00B65671"/>
    <w:rsid w:val="00B65E8A"/>
    <w:rsid w:val="00B663F7"/>
    <w:rsid w:val="00B667BF"/>
    <w:rsid w:val="00B672DF"/>
    <w:rsid w:val="00B6745B"/>
    <w:rsid w:val="00B67CA7"/>
    <w:rsid w:val="00B70C6C"/>
    <w:rsid w:val="00B7187B"/>
    <w:rsid w:val="00B71EAC"/>
    <w:rsid w:val="00B72A3B"/>
    <w:rsid w:val="00B72AB4"/>
    <w:rsid w:val="00B73410"/>
    <w:rsid w:val="00B736AD"/>
    <w:rsid w:val="00B754A9"/>
    <w:rsid w:val="00B76A44"/>
    <w:rsid w:val="00B77F1B"/>
    <w:rsid w:val="00B80289"/>
    <w:rsid w:val="00B81B60"/>
    <w:rsid w:val="00B81EA8"/>
    <w:rsid w:val="00B82292"/>
    <w:rsid w:val="00B82DE6"/>
    <w:rsid w:val="00B83911"/>
    <w:rsid w:val="00B84024"/>
    <w:rsid w:val="00B8417D"/>
    <w:rsid w:val="00B867BE"/>
    <w:rsid w:val="00B8783E"/>
    <w:rsid w:val="00B90F97"/>
    <w:rsid w:val="00B933E3"/>
    <w:rsid w:val="00B93CBE"/>
    <w:rsid w:val="00B95AC2"/>
    <w:rsid w:val="00B95B75"/>
    <w:rsid w:val="00B96EBA"/>
    <w:rsid w:val="00B97E85"/>
    <w:rsid w:val="00BA02C6"/>
    <w:rsid w:val="00BA0411"/>
    <w:rsid w:val="00BA06E8"/>
    <w:rsid w:val="00BA0C12"/>
    <w:rsid w:val="00BA0FD8"/>
    <w:rsid w:val="00BA53F8"/>
    <w:rsid w:val="00BA5417"/>
    <w:rsid w:val="00BA566E"/>
    <w:rsid w:val="00BA6828"/>
    <w:rsid w:val="00BA6BF4"/>
    <w:rsid w:val="00BA7CD9"/>
    <w:rsid w:val="00BB1A81"/>
    <w:rsid w:val="00BB3CA7"/>
    <w:rsid w:val="00BB4693"/>
    <w:rsid w:val="00BB4828"/>
    <w:rsid w:val="00BB5172"/>
    <w:rsid w:val="00BB51F6"/>
    <w:rsid w:val="00BB600F"/>
    <w:rsid w:val="00BB6812"/>
    <w:rsid w:val="00BB7A04"/>
    <w:rsid w:val="00BC0CD8"/>
    <w:rsid w:val="00BC3014"/>
    <w:rsid w:val="00BC588C"/>
    <w:rsid w:val="00BC5B5F"/>
    <w:rsid w:val="00BC63AA"/>
    <w:rsid w:val="00BC7EB0"/>
    <w:rsid w:val="00BD0475"/>
    <w:rsid w:val="00BD0CAF"/>
    <w:rsid w:val="00BD1696"/>
    <w:rsid w:val="00BD2AFB"/>
    <w:rsid w:val="00BD2F57"/>
    <w:rsid w:val="00BD3235"/>
    <w:rsid w:val="00BD45C5"/>
    <w:rsid w:val="00BD52B4"/>
    <w:rsid w:val="00BD559D"/>
    <w:rsid w:val="00BD5B9A"/>
    <w:rsid w:val="00BD62D4"/>
    <w:rsid w:val="00BD648B"/>
    <w:rsid w:val="00BE2801"/>
    <w:rsid w:val="00BE3145"/>
    <w:rsid w:val="00BE39E6"/>
    <w:rsid w:val="00BE4339"/>
    <w:rsid w:val="00BE4672"/>
    <w:rsid w:val="00BE48EF"/>
    <w:rsid w:val="00BE4948"/>
    <w:rsid w:val="00BE4F42"/>
    <w:rsid w:val="00BE541B"/>
    <w:rsid w:val="00BE5B56"/>
    <w:rsid w:val="00BE7AF6"/>
    <w:rsid w:val="00BF046F"/>
    <w:rsid w:val="00BF1661"/>
    <w:rsid w:val="00BF1921"/>
    <w:rsid w:val="00BF1DAB"/>
    <w:rsid w:val="00BF289E"/>
    <w:rsid w:val="00BF2BDB"/>
    <w:rsid w:val="00BF43B6"/>
    <w:rsid w:val="00BF5587"/>
    <w:rsid w:val="00BF607F"/>
    <w:rsid w:val="00BF7394"/>
    <w:rsid w:val="00C0019E"/>
    <w:rsid w:val="00C01909"/>
    <w:rsid w:val="00C01960"/>
    <w:rsid w:val="00C01F28"/>
    <w:rsid w:val="00C02793"/>
    <w:rsid w:val="00C02A5D"/>
    <w:rsid w:val="00C02BCB"/>
    <w:rsid w:val="00C035ED"/>
    <w:rsid w:val="00C0387F"/>
    <w:rsid w:val="00C038F6"/>
    <w:rsid w:val="00C0404A"/>
    <w:rsid w:val="00C04687"/>
    <w:rsid w:val="00C04966"/>
    <w:rsid w:val="00C04AB1"/>
    <w:rsid w:val="00C0530B"/>
    <w:rsid w:val="00C06F2E"/>
    <w:rsid w:val="00C06F3B"/>
    <w:rsid w:val="00C07E11"/>
    <w:rsid w:val="00C1037D"/>
    <w:rsid w:val="00C10A84"/>
    <w:rsid w:val="00C10E1B"/>
    <w:rsid w:val="00C1193E"/>
    <w:rsid w:val="00C12899"/>
    <w:rsid w:val="00C1298F"/>
    <w:rsid w:val="00C14A60"/>
    <w:rsid w:val="00C14A69"/>
    <w:rsid w:val="00C15800"/>
    <w:rsid w:val="00C16D95"/>
    <w:rsid w:val="00C172AF"/>
    <w:rsid w:val="00C173D6"/>
    <w:rsid w:val="00C176F2"/>
    <w:rsid w:val="00C2014E"/>
    <w:rsid w:val="00C224DE"/>
    <w:rsid w:val="00C23AE5"/>
    <w:rsid w:val="00C23B82"/>
    <w:rsid w:val="00C252F4"/>
    <w:rsid w:val="00C25C0C"/>
    <w:rsid w:val="00C26AB2"/>
    <w:rsid w:val="00C26DE9"/>
    <w:rsid w:val="00C2764B"/>
    <w:rsid w:val="00C30280"/>
    <w:rsid w:val="00C30FE3"/>
    <w:rsid w:val="00C3150C"/>
    <w:rsid w:val="00C316AC"/>
    <w:rsid w:val="00C31B30"/>
    <w:rsid w:val="00C33174"/>
    <w:rsid w:val="00C345DA"/>
    <w:rsid w:val="00C34A45"/>
    <w:rsid w:val="00C34A87"/>
    <w:rsid w:val="00C3538F"/>
    <w:rsid w:val="00C36B14"/>
    <w:rsid w:val="00C40986"/>
    <w:rsid w:val="00C413C2"/>
    <w:rsid w:val="00C4201C"/>
    <w:rsid w:val="00C42660"/>
    <w:rsid w:val="00C42FBC"/>
    <w:rsid w:val="00C4311F"/>
    <w:rsid w:val="00C44039"/>
    <w:rsid w:val="00C445FD"/>
    <w:rsid w:val="00C4497B"/>
    <w:rsid w:val="00C44ABD"/>
    <w:rsid w:val="00C44E5F"/>
    <w:rsid w:val="00C45DB9"/>
    <w:rsid w:val="00C462AD"/>
    <w:rsid w:val="00C50DC1"/>
    <w:rsid w:val="00C533C5"/>
    <w:rsid w:val="00C54F81"/>
    <w:rsid w:val="00C55018"/>
    <w:rsid w:val="00C55580"/>
    <w:rsid w:val="00C55DCA"/>
    <w:rsid w:val="00C5669A"/>
    <w:rsid w:val="00C56777"/>
    <w:rsid w:val="00C612EF"/>
    <w:rsid w:val="00C61B00"/>
    <w:rsid w:val="00C63A34"/>
    <w:rsid w:val="00C64F29"/>
    <w:rsid w:val="00C65B6D"/>
    <w:rsid w:val="00C670EC"/>
    <w:rsid w:val="00C7004A"/>
    <w:rsid w:val="00C70CB9"/>
    <w:rsid w:val="00C711FB"/>
    <w:rsid w:val="00C71EB9"/>
    <w:rsid w:val="00C7233F"/>
    <w:rsid w:val="00C72DEB"/>
    <w:rsid w:val="00C7482F"/>
    <w:rsid w:val="00C74B75"/>
    <w:rsid w:val="00C74DC0"/>
    <w:rsid w:val="00C74E72"/>
    <w:rsid w:val="00C75D60"/>
    <w:rsid w:val="00C763E2"/>
    <w:rsid w:val="00C7685F"/>
    <w:rsid w:val="00C773B3"/>
    <w:rsid w:val="00C77C71"/>
    <w:rsid w:val="00C80900"/>
    <w:rsid w:val="00C81395"/>
    <w:rsid w:val="00C82B4A"/>
    <w:rsid w:val="00C82F78"/>
    <w:rsid w:val="00C83F4C"/>
    <w:rsid w:val="00C84B0C"/>
    <w:rsid w:val="00C85768"/>
    <w:rsid w:val="00C866B7"/>
    <w:rsid w:val="00C86716"/>
    <w:rsid w:val="00C867B4"/>
    <w:rsid w:val="00C868A2"/>
    <w:rsid w:val="00C86F22"/>
    <w:rsid w:val="00C8792C"/>
    <w:rsid w:val="00C87936"/>
    <w:rsid w:val="00C87CFE"/>
    <w:rsid w:val="00C87ED0"/>
    <w:rsid w:val="00C9073B"/>
    <w:rsid w:val="00C91D07"/>
    <w:rsid w:val="00C92C78"/>
    <w:rsid w:val="00C953A2"/>
    <w:rsid w:val="00C95CD5"/>
    <w:rsid w:val="00C95EC3"/>
    <w:rsid w:val="00C96536"/>
    <w:rsid w:val="00C9667E"/>
    <w:rsid w:val="00C96B83"/>
    <w:rsid w:val="00C97005"/>
    <w:rsid w:val="00C971FF"/>
    <w:rsid w:val="00CA0A9C"/>
    <w:rsid w:val="00CA0FD3"/>
    <w:rsid w:val="00CA1056"/>
    <w:rsid w:val="00CA171C"/>
    <w:rsid w:val="00CA242B"/>
    <w:rsid w:val="00CA2FFB"/>
    <w:rsid w:val="00CA30E9"/>
    <w:rsid w:val="00CA3E6E"/>
    <w:rsid w:val="00CA486A"/>
    <w:rsid w:val="00CA7B3D"/>
    <w:rsid w:val="00CA7E7C"/>
    <w:rsid w:val="00CB0220"/>
    <w:rsid w:val="00CB0886"/>
    <w:rsid w:val="00CB19DD"/>
    <w:rsid w:val="00CB378F"/>
    <w:rsid w:val="00CB4D59"/>
    <w:rsid w:val="00CB6186"/>
    <w:rsid w:val="00CB7C74"/>
    <w:rsid w:val="00CC0239"/>
    <w:rsid w:val="00CC0A0F"/>
    <w:rsid w:val="00CC14D3"/>
    <w:rsid w:val="00CC3658"/>
    <w:rsid w:val="00CC39B1"/>
    <w:rsid w:val="00CC4CAD"/>
    <w:rsid w:val="00CC55CE"/>
    <w:rsid w:val="00CC5675"/>
    <w:rsid w:val="00CC5BF5"/>
    <w:rsid w:val="00CC69A1"/>
    <w:rsid w:val="00CD0330"/>
    <w:rsid w:val="00CD09EB"/>
    <w:rsid w:val="00CD119B"/>
    <w:rsid w:val="00CD119C"/>
    <w:rsid w:val="00CD1540"/>
    <w:rsid w:val="00CD1B5E"/>
    <w:rsid w:val="00CD1CD2"/>
    <w:rsid w:val="00CD1F63"/>
    <w:rsid w:val="00CD23E7"/>
    <w:rsid w:val="00CD4CC4"/>
    <w:rsid w:val="00CD5EF9"/>
    <w:rsid w:val="00CD610C"/>
    <w:rsid w:val="00CD6B7F"/>
    <w:rsid w:val="00CD6CF8"/>
    <w:rsid w:val="00CD6D89"/>
    <w:rsid w:val="00CD7B26"/>
    <w:rsid w:val="00CD7D05"/>
    <w:rsid w:val="00CE079D"/>
    <w:rsid w:val="00CE1678"/>
    <w:rsid w:val="00CE2308"/>
    <w:rsid w:val="00CE2400"/>
    <w:rsid w:val="00CE30A1"/>
    <w:rsid w:val="00CE3AD5"/>
    <w:rsid w:val="00CE40D9"/>
    <w:rsid w:val="00CE5162"/>
    <w:rsid w:val="00CE552A"/>
    <w:rsid w:val="00CE6631"/>
    <w:rsid w:val="00CE6673"/>
    <w:rsid w:val="00CE672C"/>
    <w:rsid w:val="00CF14FA"/>
    <w:rsid w:val="00CF1E96"/>
    <w:rsid w:val="00CF214F"/>
    <w:rsid w:val="00CF21D3"/>
    <w:rsid w:val="00CF38DE"/>
    <w:rsid w:val="00CF3EA5"/>
    <w:rsid w:val="00CF4F94"/>
    <w:rsid w:val="00CF5C4E"/>
    <w:rsid w:val="00CF5F34"/>
    <w:rsid w:val="00CF6424"/>
    <w:rsid w:val="00D0013B"/>
    <w:rsid w:val="00D00256"/>
    <w:rsid w:val="00D00720"/>
    <w:rsid w:val="00D0072F"/>
    <w:rsid w:val="00D03371"/>
    <w:rsid w:val="00D035D8"/>
    <w:rsid w:val="00D037D7"/>
    <w:rsid w:val="00D03D3D"/>
    <w:rsid w:val="00D04042"/>
    <w:rsid w:val="00D05A5A"/>
    <w:rsid w:val="00D05CFA"/>
    <w:rsid w:val="00D05DFA"/>
    <w:rsid w:val="00D063FB"/>
    <w:rsid w:val="00D07580"/>
    <w:rsid w:val="00D10CBA"/>
    <w:rsid w:val="00D10CD7"/>
    <w:rsid w:val="00D11498"/>
    <w:rsid w:val="00D11B96"/>
    <w:rsid w:val="00D11D9C"/>
    <w:rsid w:val="00D124EA"/>
    <w:rsid w:val="00D1337E"/>
    <w:rsid w:val="00D14300"/>
    <w:rsid w:val="00D146C6"/>
    <w:rsid w:val="00D14AC6"/>
    <w:rsid w:val="00D1521B"/>
    <w:rsid w:val="00D15AC9"/>
    <w:rsid w:val="00D1661B"/>
    <w:rsid w:val="00D2051B"/>
    <w:rsid w:val="00D2113F"/>
    <w:rsid w:val="00D21952"/>
    <w:rsid w:val="00D24304"/>
    <w:rsid w:val="00D24FF2"/>
    <w:rsid w:val="00D25234"/>
    <w:rsid w:val="00D25BAB"/>
    <w:rsid w:val="00D26A36"/>
    <w:rsid w:val="00D2747C"/>
    <w:rsid w:val="00D27878"/>
    <w:rsid w:val="00D27957"/>
    <w:rsid w:val="00D27A8E"/>
    <w:rsid w:val="00D30B7A"/>
    <w:rsid w:val="00D31A87"/>
    <w:rsid w:val="00D31D29"/>
    <w:rsid w:val="00D32D84"/>
    <w:rsid w:val="00D33193"/>
    <w:rsid w:val="00D33A53"/>
    <w:rsid w:val="00D34E19"/>
    <w:rsid w:val="00D3569C"/>
    <w:rsid w:val="00D3610A"/>
    <w:rsid w:val="00D37143"/>
    <w:rsid w:val="00D408B8"/>
    <w:rsid w:val="00D412FE"/>
    <w:rsid w:val="00D42800"/>
    <w:rsid w:val="00D444BC"/>
    <w:rsid w:val="00D44585"/>
    <w:rsid w:val="00D45CEE"/>
    <w:rsid w:val="00D47103"/>
    <w:rsid w:val="00D47898"/>
    <w:rsid w:val="00D5020A"/>
    <w:rsid w:val="00D5054D"/>
    <w:rsid w:val="00D5086B"/>
    <w:rsid w:val="00D50986"/>
    <w:rsid w:val="00D50FE1"/>
    <w:rsid w:val="00D513A7"/>
    <w:rsid w:val="00D5304C"/>
    <w:rsid w:val="00D54B17"/>
    <w:rsid w:val="00D54EFB"/>
    <w:rsid w:val="00D55007"/>
    <w:rsid w:val="00D551C1"/>
    <w:rsid w:val="00D55753"/>
    <w:rsid w:val="00D57AF5"/>
    <w:rsid w:val="00D620A5"/>
    <w:rsid w:val="00D621AD"/>
    <w:rsid w:val="00D62967"/>
    <w:rsid w:val="00D62F51"/>
    <w:rsid w:val="00D632DF"/>
    <w:rsid w:val="00D63BF2"/>
    <w:rsid w:val="00D65480"/>
    <w:rsid w:val="00D66A47"/>
    <w:rsid w:val="00D678D3"/>
    <w:rsid w:val="00D67BE7"/>
    <w:rsid w:val="00D67C97"/>
    <w:rsid w:val="00D67CF7"/>
    <w:rsid w:val="00D67F82"/>
    <w:rsid w:val="00D70B71"/>
    <w:rsid w:val="00D71D3A"/>
    <w:rsid w:val="00D72175"/>
    <w:rsid w:val="00D74D2F"/>
    <w:rsid w:val="00D75710"/>
    <w:rsid w:val="00D76186"/>
    <w:rsid w:val="00D82558"/>
    <w:rsid w:val="00D82936"/>
    <w:rsid w:val="00D82B37"/>
    <w:rsid w:val="00D83089"/>
    <w:rsid w:val="00D8388C"/>
    <w:rsid w:val="00D8455F"/>
    <w:rsid w:val="00D84BD6"/>
    <w:rsid w:val="00D84E24"/>
    <w:rsid w:val="00D85297"/>
    <w:rsid w:val="00D853B1"/>
    <w:rsid w:val="00D853F1"/>
    <w:rsid w:val="00D86007"/>
    <w:rsid w:val="00D86539"/>
    <w:rsid w:val="00D86FD6"/>
    <w:rsid w:val="00D874F1"/>
    <w:rsid w:val="00D87721"/>
    <w:rsid w:val="00D87A59"/>
    <w:rsid w:val="00D90373"/>
    <w:rsid w:val="00D906CB"/>
    <w:rsid w:val="00D90A3D"/>
    <w:rsid w:val="00D911DE"/>
    <w:rsid w:val="00D91586"/>
    <w:rsid w:val="00D92BF2"/>
    <w:rsid w:val="00D9334E"/>
    <w:rsid w:val="00D93BE0"/>
    <w:rsid w:val="00D9455C"/>
    <w:rsid w:val="00D94EBE"/>
    <w:rsid w:val="00D951B4"/>
    <w:rsid w:val="00D955A6"/>
    <w:rsid w:val="00D95D37"/>
    <w:rsid w:val="00D9681C"/>
    <w:rsid w:val="00D96CC3"/>
    <w:rsid w:val="00D97AB9"/>
    <w:rsid w:val="00DA0975"/>
    <w:rsid w:val="00DA1B8B"/>
    <w:rsid w:val="00DA3077"/>
    <w:rsid w:val="00DA35B7"/>
    <w:rsid w:val="00DA5AC3"/>
    <w:rsid w:val="00DA5C76"/>
    <w:rsid w:val="00DA7397"/>
    <w:rsid w:val="00DA7AFD"/>
    <w:rsid w:val="00DA7DE1"/>
    <w:rsid w:val="00DB091E"/>
    <w:rsid w:val="00DB12CE"/>
    <w:rsid w:val="00DB1F28"/>
    <w:rsid w:val="00DB20A3"/>
    <w:rsid w:val="00DB2CA0"/>
    <w:rsid w:val="00DB46CA"/>
    <w:rsid w:val="00DB5112"/>
    <w:rsid w:val="00DB6067"/>
    <w:rsid w:val="00DB65E7"/>
    <w:rsid w:val="00DB6A90"/>
    <w:rsid w:val="00DB76C3"/>
    <w:rsid w:val="00DC2688"/>
    <w:rsid w:val="00DC28F6"/>
    <w:rsid w:val="00DC3D27"/>
    <w:rsid w:val="00DC4374"/>
    <w:rsid w:val="00DD2DA8"/>
    <w:rsid w:val="00DD3BDD"/>
    <w:rsid w:val="00DD4924"/>
    <w:rsid w:val="00DD6C66"/>
    <w:rsid w:val="00DD6F08"/>
    <w:rsid w:val="00DD7621"/>
    <w:rsid w:val="00DD7F16"/>
    <w:rsid w:val="00DE0885"/>
    <w:rsid w:val="00DE1119"/>
    <w:rsid w:val="00DE1446"/>
    <w:rsid w:val="00DE1DD7"/>
    <w:rsid w:val="00DE228A"/>
    <w:rsid w:val="00DE2575"/>
    <w:rsid w:val="00DE3468"/>
    <w:rsid w:val="00DE3D17"/>
    <w:rsid w:val="00DE3DAF"/>
    <w:rsid w:val="00DE4C77"/>
    <w:rsid w:val="00DE67F3"/>
    <w:rsid w:val="00DE6D64"/>
    <w:rsid w:val="00DE78D9"/>
    <w:rsid w:val="00DE7C25"/>
    <w:rsid w:val="00DF05E3"/>
    <w:rsid w:val="00DF1CA4"/>
    <w:rsid w:val="00DF2155"/>
    <w:rsid w:val="00DF4159"/>
    <w:rsid w:val="00DF5839"/>
    <w:rsid w:val="00DF58D6"/>
    <w:rsid w:val="00DF644A"/>
    <w:rsid w:val="00DF6471"/>
    <w:rsid w:val="00DF65CD"/>
    <w:rsid w:val="00DF6A88"/>
    <w:rsid w:val="00DF7B2D"/>
    <w:rsid w:val="00E00292"/>
    <w:rsid w:val="00E003C7"/>
    <w:rsid w:val="00E009B0"/>
    <w:rsid w:val="00E0140F"/>
    <w:rsid w:val="00E02D15"/>
    <w:rsid w:val="00E03096"/>
    <w:rsid w:val="00E037E2"/>
    <w:rsid w:val="00E03937"/>
    <w:rsid w:val="00E04466"/>
    <w:rsid w:val="00E051FD"/>
    <w:rsid w:val="00E05314"/>
    <w:rsid w:val="00E05784"/>
    <w:rsid w:val="00E059DC"/>
    <w:rsid w:val="00E0656E"/>
    <w:rsid w:val="00E06FD9"/>
    <w:rsid w:val="00E07DB2"/>
    <w:rsid w:val="00E1059E"/>
    <w:rsid w:val="00E1089F"/>
    <w:rsid w:val="00E1095E"/>
    <w:rsid w:val="00E11270"/>
    <w:rsid w:val="00E12661"/>
    <w:rsid w:val="00E127F3"/>
    <w:rsid w:val="00E12BEE"/>
    <w:rsid w:val="00E131F0"/>
    <w:rsid w:val="00E13912"/>
    <w:rsid w:val="00E13A23"/>
    <w:rsid w:val="00E147C4"/>
    <w:rsid w:val="00E14AE1"/>
    <w:rsid w:val="00E1518B"/>
    <w:rsid w:val="00E165E4"/>
    <w:rsid w:val="00E16D4B"/>
    <w:rsid w:val="00E17BBF"/>
    <w:rsid w:val="00E206BD"/>
    <w:rsid w:val="00E20D2D"/>
    <w:rsid w:val="00E21B13"/>
    <w:rsid w:val="00E22267"/>
    <w:rsid w:val="00E225FB"/>
    <w:rsid w:val="00E22C63"/>
    <w:rsid w:val="00E23E72"/>
    <w:rsid w:val="00E242C0"/>
    <w:rsid w:val="00E25D73"/>
    <w:rsid w:val="00E261C9"/>
    <w:rsid w:val="00E26EEF"/>
    <w:rsid w:val="00E30F4C"/>
    <w:rsid w:val="00E32010"/>
    <w:rsid w:val="00E32F33"/>
    <w:rsid w:val="00E35512"/>
    <w:rsid w:val="00E366F3"/>
    <w:rsid w:val="00E374E8"/>
    <w:rsid w:val="00E37DBB"/>
    <w:rsid w:val="00E402AE"/>
    <w:rsid w:val="00E41173"/>
    <w:rsid w:val="00E411DC"/>
    <w:rsid w:val="00E42500"/>
    <w:rsid w:val="00E42BBC"/>
    <w:rsid w:val="00E430E0"/>
    <w:rsid w:val="00E4454C"/>
    <w:rsid w:val="00E447B4"/>
    <w:rsid w:val="00E4526B"/>
    <w:rsid w:val="00E4627C"/>
    <w:rsid w:val="00E4674A"/>
    <w:rsid w:val="00E46B86"/>
    <w:rsid w:val="00E47DA5"/>
    <w:rsid w:val="00E51F1A"/>
    <w:rsid w:val="00E52448"/>
    <w:rsid w:val="00E52A81"/>
    <w:rsid w:val="00E5335D"/>
    <w:rsid w:val="00E54008"/>
    <w:rsid w:val="00E544F6"/>
    <w:rsid w:val="00E5452D"/>
    <w:rsid w:val="00E54E86"/>
    <w:rsid w:val="00E55AA7"/>
    <w:rsid w:val="00E55FA0"/>
    <w:rsid w:val="00E565CA"/>
    <w:rsid w:val="00E57E15"/>
    <w:rsid w:val="00E60E7B"/>
    <w:rsid w:val="00E61E9C"/>
    <w:rsid w:val="00E62BCA"/>
    <w:rsid w:val="00E63110"/>
    <w:rsid w:val="00E648C8"/>
    <w:rsid w:val="00E65341"/>
    <w:rsid w:val="00E66198"/>
    <w:rsid w:val="00E66325"/>
    <w:rsid w:val="00E7015B"/>
    <w:rsid w:val="00E70941"/>
    <w:rsid w:val="00E70DAE"/>
    <w:rsid w:val="00E716FF"/>
    <w:rsid w:val="00E71A83"/>
    <w:rsid w:val="00E7353A"/>
    <w:rsid w:val="00E73998"/>
    <w:rsid w:val="00E73BC0"/>
    <w:rsid w:val="00E74159"/>
    <w:rsid w:val="00E7416A"/>
    <w:rsid w:val="00E747F3"/>
    <w:rsid w:val="00E750C6"/>
    <w:rsid w:val="00E76380"/>
    <w:rsid w:val="00E76CD0"/>
    <w:rsid w:val="00E772AC"/>
    <w:rsid w:val="00E77CC2"/>
    <w:rsid w:val="00E80C34"/>
    <w:rsid w:val="00E83F62"/>
    <w:rsid w:val="00E8405D"/>
    <w:rsid w:val="00E84795"/>
    <w:rsid w:val="00E84D3C"/>
    <w:rsid w:val="00E84D4C"/>
    <w:rsid w:val="00E872A5"/>
    <w:rsid w:val="00E87AA2"/>
    <w:rsid w:val="00E90B8C"/>
    <w:rsid w:val="00E91194"/>
    <w:rsid w:val="00E91C5E"/>
    <w:rsid w:val="00E91E7C"/>
    <w:rsid w:val="00E920E3"/>
    <w:rsid w:val="00E9460F"/>
    <w:rsid w:val="00E94B38"/>
    <w:rsid w:val="00E95472"/>
    <w:rsid w:val="00E95E82"/>
    <w:rsid w:val="00E97B0D"/>
    <w:rsid w:val="00EA0E22"/>
    <w:rsid w:val="00EA1A4B"/>
    <w:rsid w:val="00EA347F"/>
    <w:rsid w:val="00EA3A80"/>
    <w:rsid w:val="00EA3B2A"/>
    <w:rsid w:val="00EA4DC4"/>
    <w:rsid w:val="00EA50E3"/>
    <w:rsid w:val="00EA5970"/>
    <w:rsid w:val="00EA6305"/>
    <w:rsid w:val="00EA6D41"/>
    <w:rsid w:val="00EA6F85"/>
    <w:rsid w:val="00EA79D0"/>
    <w:rsid w:val="00EB0222"/>
    <w:rsid w:val="00EB047A"/>
    <w:rsid w:val="00EB20CD"/>
    <w:rsid w:val="00EB218F"/>
    <w:rsid w:val="00EB37A3"/>
    <w:rsid w:val="00EB49AF"/>
    <w:rsid w:val="00EB51FE"/>
    <w:rsid w:val="00EB5575"/>
    <w:rsid w:val="00EB57BB"/>
    <w:rsid w:val="00EB582A"/>
    <w:rsid w:val="00EB5BA0"/>
    <w:rsid w:val="00EB67F3"/>
    <w:rsid w:val="00EB6A7E"/>
    <w:rsid w:val="00EB7737"/>
    <w:rsid w:val="00EB7F78"/>
    <w:rsid w:val="00EC07A8"/>
    <w:rsid w:val="00EC096D"/>
    <w:rsid w:val="00EC307B"/>
    <w:rsid w:val="00EC353C"/>
    <w:rsid w:val="00EC4A90"/>
    <w:rsid w:val="00EC4C4D"/>
    <w:rsid w:val="00EC4D4F"/>
    <w:rsid w:val="00EC5041"/>
    <w:rsid w:val="00EC5212"/>
    <w:rsid w:val="00EC5850"/>
    <w:rsid w:val="00EC5C08"/>
    <w:rsid w:val="00ED05DA"/>
    <w:rsid w:val="00ED1E92"/>
    <w:rsid w:val="00ED235B"/>
    <w:rsid w:val="00ED36F5"/>
    <w:rsid w:val="00ED4632"/>
    <w:rsid w:val="00ED5052"/>
    <w:rsid w:val="00ED5074"/>
    <w:rsid w:val="00ED519E"/>
    <w:rsid w:val="00ED554E"/>
    <w:rsid w:val="00ED5FD2"/>
    <w:rsid w:val="00ED68D8"/>
    <w:rsid w:val="00ED68F5"/>
    <w:rsid w:val="00EE13D9"/>
    <w:rsid w:val="00EE1620"/>
    <w:rsid w:val="00EE1628"/>
    <w:rsid w:val="00EE202F"/>
    <w:rsid w:val="00EE291A"/>
    <w:rsid w:val="00EE2A98"/>
    <w:rsid w:val="00EE2FE5"/>
    <w:rsid w:val="00EE3BD4"/>
    <w:rsid w:val="00EE3DF2"/>
    <w:rsid w:val="00EE4396"/>
    <w:rsid w:val="00EE487A"/>
    <w:rsid w:val="00EE4B4B"/>
    <w:rsid w:val="00EE4C30"/>
    <w:rsid w:val="00EE57B5"/>
    <w:rsid w:val="00EF0FE8"/>
    <w:rsid w:val="00EF10FF"/>
    <w:rsid w:val="00EF1180"/>
    <w:rsid w:val="00EF11F7"/>
    <w:rsid w:val="00EF157F"/>
    <w:rsid w:val="00EF26E3"/>
    <w:rsid w:val="00EF3846"/>
    <w:rsid w:val="00EF4EAC"/>
    <w:rsid w:val="00EF58C9"/>
    <w:rsid w:val="00EF6153"/>
    <w:rsid w:val="00F00E50"/>
    <w:rsid w:val="00F01450"/>
    <w:rsid w:val="00F02426"/>
    <w:rsid w:val="00F02617"/>
    <w:rsid w:val="00F02F2D"/>
    <w:rsid w:val="00F0302F"/>
    <w:rsid w:val="00F04698"/>
    <w:rsid w:val="00F04753"/>
    <w:rsid w:val="00F0485C"/>
    <w:rsid w:val="00F054DF"/>
    <w:rsid w:val="00F06D84"/>
    <w:rsid w:val="00F07368"/>
    <w:rsid w:val="00F0744F"/>
    <w:rsid w:val="00F07D8F"/>
    <w:rsid w:val="00F11071"/>
    <w:rsid w:val="00F110E7"/>
    <w:rsid w:val="00F1123C"/>
    <w:rsid w:val="00F112F3"/>
    <w:rsid w:val="00F136AA"/>
    <w:rsid w:val="00F138BB"/>
    <w:rsid w:val="00F13A50"/>
    <w:rsid w:val="00F1471A"/>
    <w:rsid w:val="00F1497C"/>
    <w:rsid w:val="00F152E9"/>
    <w:rsid w:val="00F154ED"/>
    <w:rsid w:val="00F156F1"/>
    <w:rsid w:val="00F159B7"/>
    <w:rsid w:val="00F16148"/>
    <w:rsid w:val="00F16679"/>
    <w:rsid w:val="00F16C72"/>
    <w:rsid w:val="00F16E40"/>
    <w:rsid w:val="00F202F3"/>
    <w:rsid w:val="00F21A5C"/>
    <w:rsid w:val="00F237C2"/>
    <w:rsid w:val="00F23AF5"/>
    <w:rsid w:val="00F24831"/>
    <w:rsid w:val="00F248DA"/>
    <w:rsid w:val="00F24CFD"/>
    <w:rsid w:val="00F24F3E"/>
    <w:rsid w:val="00F2700E"/>
    <w:rsid w:val="00F30C36"/>
    <w:rsid w:val="00F30C98"/>
    <w:rsid w:val="00F3159E"/>
    <w:rsid w:val="00F32EC2"/>
    <w:rsid w:val="00F3402A"/>
    <w:rsid w:val="00F34667"/>
    <w:rsid w:val="00F3475D"/>
    <w:rsid w:val="00F3482C"/>
    <w:rsid w:val="00F34CA6"/>
    <w:rsid w:val="00F36566"/>
    <w:rsid w:val="00F36EB5"/>
    <w:rsid w:val="00F3741A"/>
    <w:rsid w:val="00F407F9"/>
    <w:rsid w:val="00F40EAB"/>
    <w:rsid w:val="00F4136D"/>
    <w:rsid w:val="00F418E4"/>
    <w:rsid w:val="00F4216E"/>
    <w:rsid w:val="00F42583"/>
    <w:rsid w:val="00F43117"/>
    <w:rsid w:val="00F4577E"/>
    <w:rsid w:val="00F45E93"/>
    <w:rsid w:val="00F47520"/>
    <w:rsid w:val="00F4771C"/>
    <w:rsid w:val="00F47AED"/>
    <w:rsid w:val="00F503F7"/>
    <w:rsid w:val="00F5077C"/>
    <w:rsid w:val="00F509A4"/>
    <w:rsid w:val="00F52BFB"/>
    <w:rsid w:val="00F52D09"/>
    <w:rsid w:val="00F54051"/>
    <w:rsid w:val="00F54692"/>
    <w:rsid w:val="00F54BE8"/>
    <w:rsid w:val="00F554BD"/>
    <w:rsid w:val="00F555E3"/>
    <w:rsid w:val="00F56D17"/>
    <w:rsid w:val="00F56D90"/>
    <w:rsid w:val="00F57C9C"/>
    <w:rsid w:val="00F57FC7"/>
    <w:rsid w:val="00F60DEA"/>
    <w:rsid w:val="00F61231"/>
    <w:rsid w:val="00F62C28"/>
    <w:rsid w:val="00F6358A"/>
    <w:rsid w:val="00F63A83"/>
    <w:rsid w:val="00F6748F"/>
    <w:rsid w:val="00F7139B"/>
    <w:rsid w:val="00F72290"/>
    <w:rsid w:val="00F725C8"/>
    <w:rsid w:val="00F7282E"/>
    <w:rsid w:val="00F7387C"/>
    <w:rsid w:val="00F7434D"/>
    <w:rsid w:val="00F74700"/>
    <w:rsid w:val="00F74A4F"/>
    <w:rsid w:val="00F75033"/>
    <w:rsid w:val="00F7598C"/>
    <w:rsid w:val="00F76F9E"/>
    <w:rsid w:val="00F77149"/>
    <w:rsid w:val="00F771AE"/>
    <w:rsid w:val="00F7753F"/>
    <w:rsid w:val="00F77E9E"/>
    <w:rsid w:val="00F8026C"/>
    <w:rsid w:val="00F80519"/>
    <w:rsid w:val="00F8062D"/>
    <w:rsid w:val="00F80FC9"/>
    <w:rsid w:val="00F818FD"/>
    <w:rsid w:val="00F82087"/>
    <w:rsid w:val="00F8241F"/>
    <w:rsid w:val="00F82A95"/>
    <w:rsid w:val="00F8429D"/>
    <w:rsid w:val="00F8538E"/>
    <w:rsid w:val="00F85E6E"/>
    <w:rsid w:val="00F8615B"/>
    <w:rsid w:val="00F87346"/>
    <w:rsid w:val="00F87FF0"/>
    <w:rsid w:val="00F90143"/>
    <w:rsid w:val="00F9137F"/>
    <w:rsid w:val="00F938E7"/>
    <w:rsid w:val="00F9390E"/>
    <w:rsid w:val="00F93CA6"/>
    <w:rsid w:val="00F941B9"/>
    <w:rsid w:val="00F9493F"/>
    <w:rsid w:val="00F94B0A"/>
    <w:rsid w:val="00F97EE5"/>
    <w:rsid w:val="00FA1322"/>
    <w:rsid w:val="00FA13E4"/>
    <w:rsid w:val="00FA1D36"/>
    <w:rsid w:val="00FA2F8C"/>
    <w:rsid w:val="00FA3096"/>
    <w:rsid w:val="00FA3CC9"/>
    <w:rsid w:val="00FA4279"/>
    <w:rsid w:val="00FA5E54"/>
    <w:rsid w:val="00FA636E"/>
    <w:rsid w:val="00FA6660"/>
    <w:rsid w:val="00FA743A"/>
    <w:rsid w:val="00FA75DC"/>
    <w:rsid w:val="00FB061D"/>
    <w:rsid w:val="00FB0981"/>
    <w:rsid w:val="00FB0D91"/>
    <w:rsid w:val="00FB1962"/>
    <w:rsid w:val="00FB2694"/>
    <w:rsid w:val="00FB2B40"/>
    <w:rsid w:val="00FB4142"/>
    <w:rsid w:val="00FB4BF2"/>
    <w:rsid w:val="00FB5852"/>
    <w:rsid w:val="00FB6003"/>
    <w:rsid w:val="00FB603D"/>
    <w:rsid w:val="00FB6140"/>
    <w:rsid w:val="00FB6899"/>
    <w:rsid w:val="00FB695F"/>
    <w:rsid w:val="00FC1B35"/>
    <w:rsid w:val="00FC234D"/>
    <w:rsid w:val="00FC2423"/>
    <w:rsid w:val="00FC36D4"/>
    <w:rsid w:val="00FC430A"/>
    <w:rsid w:val="00FC5A24"/>
    <w:rsid w:val="00FC6876"/>
    <w:rsid w:val="00FC70BA"/>
    <w:rsid w:val="00FC78AE"/>
    <w:rsid w:val="00FC7BB8"/>
    <w:rsid w:val="00FD052E"/>
    <w:rsid w:val="00FD0902"/>
    <w:rsid w:val="00FD10A3"/>
    <w:rsid w:val="00FD11D5"/>
    <w:rsid w:val="00FD1E2F"/>
    <w:rsid w:val="00FD25BA"/>
    <w:rsid w:val="00FD2CAB"/>
    <w:rsid w:val="00FD2D8B"/>
    <w:rsid w:val="00FD3EFD"/>
    <w:rsid w:val="00FD4936"/>
    <w:rsid w:val="00FD61DC"/>
    <w:rsid w:val="00FE1639"/>
    <w:rsid w:val="00FE42E8"/>
    <w:rsid w:val="00FE4D81"/>
    <w:rsid w:val="00FE4EEB"/>
    <w:rsid w:val="00FE54F9"/>
    <w:rsid w:val="00FE5C8E"/>
    <w:rsid w:val="00FE618D"/>
    <w:rsid w:val="00FE6CBD"/>
    <w:rsid w:val="00FE78CA"/>
    <w:rsid w:val="00FE7A19"/>
    <w:rsid w:val="00FF0113"/>
    <w:rsid w:val="00FF09E0"/>
    <w:rsid w:val="00FF1166"/>
    <w:rsid w:val="00FF1D06"/>
    <w:rsid w:val="00FF31E1"/>
    <w:rsid w:val="00FF3FA9"/>
    <w:rsid w:val="00FF45B6"/>
    <w:rsid w:val="00FF48D2"/>
    <w:rsid w:val="00FF4E9C"/>
    <w:rsid w:val="00FF51FF"/>
    <w:rsid w:val="00FF5633"/>
    <w:rsid w:val="00FF6943"/>
    <w:rsid w:val="00FF6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A5DE1B"/>
  <w14:defaultImageDpi w14:val="32767"/>
  <w15:chartTrackingRefBased/>
  <w15:docId w15:val="{9AC084E6-D3AF-4E8A-AE49-4AD3FC953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12B2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712B2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712B2E"/>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712B2E"/>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712B2E"/>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712B2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2B2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2B2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2B2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12B2E"/>
    <w:rPr>
      <w:rFonts w:asciiTheme="majorHAnsi" w:eastAsiaTheme="majorEastAsia" w:hAnsiTheme="majorHAnsi" w:cstheme="majorBidi"/>
      <w:color w:val="365F91" w:themeColor="accent1" w:themeShade="BF"/>
      <w:sz w:val="40"/>
      <w:szCs w:val="40"/>
    </w:rPr>
  </w:style>
  <w:style w:type="character" w:customStyle="1" w:styleId="20">
    <w:name w:val="标题 2 字符"/>
    <w:basedOn w:val="a0"/>
    <w:link w:val="2"/>
    <w:uiPriority w:val="9"/>
    <w:semiHidden/>
    <w:rsid w:val="00712B2E"/>
    <w:rPr>
      <w:rFonts w:asciiTheme="majorHAnsi" w:eastAsiaTheme="majorEastAsia" w:hAnsiTheme="majorHAnsi" w:cstheme="majorBidi"/>
      <w:color w:val="365F91" w:themeColor="accent1" w:themeShade="BF"/>
      <w:sz w:val="32"/>
      <w:szCs w:val="32"/>
    </w:rPr>
  </w:style>
  <w:style w:type="character" w:customStyle="1" w:styleId="30">
    <w:name w:val="标题 3 字符"/>
    <w:basedOn w:val="a0"/>
    <w:link w:val="3"/>
    <w:uiPriority w:val="9"/>
    <w:semiHidden/>
    <w:rsid w:val="00712B2E"/>
    <w:rPr>
      <w:rFonts w:eastAsiaTheme="majorEastAsia" w:cstheme="majorBidi"/>
      <w:color w:val="365F91" w:themeColor="accent1" w:themeShade="BF"/>
      <w:sz w:val="28"/>
      <w:szCs w:val="28"/>
    </w:rPr>
  </w:style>
  <w:style w:type="character" w:customStyle="1" w:styleId="40">
    <w:name w:val="标题 4 字符"/>
    <w:basedOn w:val="a0"/>
    <w:link w:val="4"/>
    <w:uiPriority w:val="9"/>
    <w:semiHidden/>
    <w:rsid w:val="00712B2E"/>
    <w:rPr>
      <w:rFonts w:eastAsiaTheme="majorEastAsia" w:cstheme="majorBidi"/>
      <w:i/>
      <w:iCs/>
      <w:color w:val="365F91" w:themeColor="accent1" w:themeShade="BF"/>
    </w:rPr>
  </w:style>
  <w:style w:type="character" w:customStyle="1" w:styleId="50">
    <w:name w:val="标题 5 字符"/>
    <w:basedOn w:val="a0"/>
    <w:link w:val="5"/>
    <w:uiPriority w:val="9"/>
    <w:semiHidden/>
    <w:rsid w:val="00712B2E"/>
    <w:rPr>
      <w:rFonts w:eastAsiaTheme="majorEastAsia" w:cstheme="majorBidi"/>
      <w:color w:val="365F91" w:themeColor="accent1" w:themeShade="BF"/>
    </w:rPr>
  </w:style>
  <w:style w:type="character" w:customStyle="1" w:styleId="60">
    <w:name w:val="标题 6 字符"/>
    <w:basedOn w:val="a0"/>
    <w:link w:val="6"/>
    <w:uiPriority w:val="9"/>
    <w:semiHidden/>
    <w:rsid w:val="00712B2E"/>
    <w:rPr>
      <w:rFonts w:eastAsiaTheme="majorEastAsia" w:cstheme="majorBidi"/>
      <w:i/>
      <w:iCs/>
      <w:color w:val="595959" w:themeColor="text1" w:themeTint="A6"/>
    </w:rPr>
  </w:style>
  <w:style w:type="character" w:customStyle="1" w:styleId="70">
    <w:name w:val="标题 7 字符"/>
    <w:basedOn w:val="a0"/>
    <w:link w:val="7"/>
    <w:uiPriority w:val="9"/>
    <w:semiHidden/>
    <w:rsid w:val="00712B2E"/>
    <w:rPr>
      <w:rFonts w:eastAsiaTheme="majorEastAsia" w:cstheme="majorBidi"/>
      <w:color w:val="595959" w:themeColor="text1" w:themeTint="A6"/>
    </w:rPr>
  </w:style>
  <w:style w:type="character" w:customStyle="1" w:styleId="80">
    <w:name w:val="标题 8 字符"/>
    <w:basedOn w:val="a0"/>
    <w:link w:val="8"/>
    <w:uiPriority w:val="9"/>
    <w:semiHidden/>
    <w:rsid w:val="00712B2E"/>
    <w:rPr>
      <w:rFonts w:eastAsiaTheme="majorEastAsia" w:cstheme="majorBidi"/>
      <w:i/>
      <w:iCs/>
      <w:color w:val="272727" w:themeColor="text1" w:themeTint="D8"/>
    </w:rPr>
  </w:style>
  <w:style w:type="character" w:customStyle="1" w:styleId="90">
    <w:name w:val="标题 9 字符"/>
    <w:basedOn w:val="a0"/>
    <w:link w:val="9"/>
    <w:uiPriority w:val="9"/>
    <w:semiHidden/>
    <w:rsid w:val="00712B2E"/>
    <w:rPr>
      <w:rFonts w:eastAsiaTheme="majorEastAsia" w:cstheme="majorBidi"/>
      <w:color w:val="272727" w:themeColor="text1" w:themeTint="D8"/>
    </w:rPr>
  </w:style>
  <w:style w:type="paragraph" w:styleId="a3">
    <w:name w:val="Title"/>
    <w:basedOn w:val="a"/>
    <w:next w:val="a"/>
    <w:link w:val="a4"/>
    <w:uiPriority w:val="10"/>
    <w:qFormat/>
    <w:rsid w:val="00712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12B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2B2E"/>
    <w:pPr>
      <w:numPr>
        <w:ilvl w:val="1"/>
      </w:numPr>
      <w:spacing w:after="160"/>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712B2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12B2E"/>
    <w:pPr>
      <w:spacing w:before="160" w:after="160"/>
      <w:jc w:val="center"/>
    </w:pPr>
    <w:rPr>
      <w:i/>
      <w:iCs/>
      <w:color w:val="404040" w:themeColor="text1" w:themeTint="BF"/>
    </w:rPr>
  </w:style>
  <w:style w:type="character" w:customStyle="1" w:styleId="a8">
    <w:name w:val="引用 字符"/>
    <w:basedOn w:val="a0"/>
    <w:link w:val="a7"/>
    <w:uiPriority w:val="29"/>
    <w:rsid w:val="00712B2E"/>
    <w:rPr>
      <w:i/>
      <w:iCs/>
      <w:color w:val="404040" w:themeColor="text1" w:themeTint="BF"/>
    </w:rPr>
  </w:style>
  <w:style w:type="paragraph" w:styleId="a9">
    <w:name w:val="List Paragraph"/>
    <w:basedOn w:val="a"/>
    <w:uiPriority w:val="34"/>
    <w:qFormat/>
    <w:rsid w:val="00712B2E"/>
    <w:pPr>
      <w:ind w:left="720"/>
      <w:contextualSpacing/>
    </w:pPr>
  </w:style>
  <w:style w:type="character" w:styleId="aa">
    <w:name w:val="Intense Emphasis"/>
    <w:basedOn w:val="a0"/>
    <w:uiPriority w:val="21"/>
    <w:qFormat/>
    <w:rsid w:val="00712B2E"/>
    <w:rPr>
      <w:i/>
      <w:iCs/>
      <w:color w:val="365F91" w:themeColor="accent1" w:themeShade="BF"/>
    </w:rPr>
  </w:style>
  <w:style w:type="paragraph" w:styleId="ab">
    <w:name w:val="Intense Quote"/>
    <w:basedOn w:val="a"/>
    <w:next w:val="a"/>
    <w:link w:val="ac"/>
    <w:uiPriority w:val="30"/>
    <w:qFormat/>
    <w:rsid w:val="00712B2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712B2E"/>
    <w:rPr>
      <w:i/>
      <w:iCs/>
      <w:color w:val="365F91" w:themeColor="accent1" w:themeShade="BF"/>
    </w:rPr>
  </w:style>
  <w:style w:type="character" w:styleId="ad">
    <w:name w:val="Intense Reference"/>
    <w:basedOn w:val="a0"/>
    <w:uiPriority w:val="32"/>
    <w:qFormat/>
    <w:rsid w:val="00712B2E"/>
    <w:rPr>
      <w:b/>
      <w:bCs/>
      <w:smallCaps/>
      <w:color w:val="365F91" w:themeColor="accent1" w:themeShade="BF"/>
      <w:spacing w:val="5"/>
    </w:rPr>
  </w:style>
  <w:style w:type="table" w:styleId="ae">
    <w:name w:val="Table Grid"/>
    <w:basedOn w:val="a1"/>
    <w:uiPriority w:val="59"/>
    <w:rsid w:val="00787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4C2780"/>
    <w:rPr>
      <w:color w:val="666666"/>
    </w:rPr>
  </w:style>
  <w:style w:type="paragraph" w:styleId="af0">
    <w:name w:val="header"/>
    <w:basedOn w:val="a"/>
    <w:link w:val="af1"/>
    <w:uiPriority w:val="99"/>
    <w:unhideWhenUsed/>
    <w:rsid w:val="00BA06E8"/>
    <w:pPr>
      <w:tabs>
        <w:tab w:val="center" w:pos="4680"/>
        <w:tab w:val="right" w:pos="9360"/>
      </w:tabs>
      <w:spacing w:after="0" w:line="240" w:lineRule="auto"/>
    </w:pPr>
  </w:style>
  <w:style w:type="character" w:customStyle="1" w:styleId="af1">
    <w:name w:val="页眉 字符"/>
    <w:basedOn w:val="a0"/>
    <w:link w:val="af0"/>
    <w:uiPriority w:val="99"/>
    <w:rsid w:val="00BA06E8"/>
  </w:style>
  <w:style w:type="paragraph" w:styleId="af2">
    <w:name w:val="footer"/>
    <w:basedOn w:val="a"/>
    <w:link w:val="af3"/>
    <w:uiPriority w:val="99"/>
    <w:unhideWhenUsed/>
    <w:rsid w:val="00BA06E8"/>
    <w:pPr>
      <w:tabs>
        <w:tab w:val="center" w:pos="4680"/>
        <w:tab w:val="right" w:pos="9360"/>
      </w:tabs>
      <w:spacing w:after="0" w:line="240" w:lineRule="auto"/>
    </w:pPr>
  </w:style>
  <w:style w:type="character" w:customStyle="1" w:styleId="af3">
    <w:name w:val="页脚 字符"/>
    <w:basedOn w:val="a0"/>
    <w:link w:val="af2"/>
    <w:uiPriority w:val="99"/>
    <w:rsid w:val="00BA06E8"/>
  </w:style>
  <w:style w:type="character" w:styleId="af4">
    <w:name w:val="Hyperlink"/>
    <w:basedOn w:val="a0"/>
    <w:uiPriority w:val="99"/>
    <w:unhideWhenUsed/>
    <w:rsid w:val="00C06F3B"/>
    <w:rPr>
      <w:color w:val="0000FF" w:themeColor="hyperlink"/>
      <w:u w:val="single"/>
    </w:rPr>
  </w:style>
  <w:style w:type="paragraph" w:styleId="af5">
    <w:name w:val="Revision"/>
    <w:hidden/>
    <w:uiPriority w:val="99"/>
    <w:semiHidden/>
    <w:rsid w:val="00801A56"/>
    <w:pPr>
      <w:spacing w:after="0" w:line="240" w:lineRule="auto"/>
    </w:pPr>
  </w:style>
  <w:style w:type="character" w:styleId="af6">
    <w:name w:val="line number"/>
    <w:basedOn w:val="a0"/>
    <w:uiPriority w:val="99"/>
    <w:semiHidden/>
    <w:unhideWhenUsed/>
    <w:rsid w:val="000279C4"/>
  </w:style>
  <w:style w:type="paragraph" w:styleId="af7">
    <w:name w:val="caption"/>
    <w:basedOn w:val="a"/>
    <w:next w:val="a"/>
    <w:uiPriority w:val="35"/>
    <w:unhideWhenUsed/>
    <w:qFormat/>
    <w:rsid w:val="00EE3DF2"/>
    <w:pPr>
      <w:spacing w:line="240" w:lineRule="auto"/>
    </w:pPr>
    <w:rPr>
      <w:i/>
      <w:iCs/>
      <w:color w:val="1F497D" w:themeColor="text2"/>
      <w:sz w:val="18"/>
      <w:szCs w:val="18"/>
    </w:rPr>
  </w:style>
  <w:style w:type="paragraph" w:styleId="af8">
    <w:name w:val="Normal (Web)"/>
    <w:basedOn w:val="a"/>
    <w:uiPriority w:val="99"/>
    <w:semiHidden/>
    <w:unhideWhenUsed/>
    <w:rsid w:val="00D915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f9">
    <w:name w:val="Unresolved Mention"/>
    <w:basedOn w:val="a0"/>
    <w:uiPriority w:val="99"/>
    <w:semiHidden/>
    <w:unhideWhenUsed/>
    <w:rsid w:val="00440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gyuzhu@ust.hk" TargetMode="External"/><Relationship Id="rId13" Type="http://schemas.openxmlformats.org/officeDocument/2006/relationships/image" Target="media/image4.png"/><Relationship Id="rId18" Type="http://schemas.openxmlformats.org/officeDocument/2006/relationships/hyperlink" Target="https://arxiv.org/abs/1705.07874"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doi.org/10.48550/arXiv.1802.03888"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pengyuzhu@ust.hk"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D5AC3-4A25-4D7F-8E20-1B05863A9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10687</Words>
  <Characters>60917</Characters>
  <Application>Microsoft Office Word</Application>
  <DocSecurity>0</DocSecurity>
  <Lines>507</Lines>
  <Paragraphs>142</Paragraphs>
  <ScaleCrop>false</ScaleCrop>
  <Company/>
  <LinksUpToDate>false</LinksUpToDate>
  <CharactersWithSpaces>71462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GEBEYEHU Teklebirhan Alemnew</dc:creator>
  <cp:keywords/>
  <dc:description/>
  <cp:lastModifiedBy>YU LIU</cp:lastModifiedBy>
  <cp:revision>4</cp:revision>
  <cp:lastPrinted>2026-06-07T13:04:00Z</cp:lastPrinted>
  <dcterms:created xsi:type="dcterms:W3CDTF">2026-09-10T06:17:00Z</dcterms:created>
  <dcterms:modified xsi:type="dcterms:W3CDTF">2026-09-10T06:28:00Z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3a52defe-618c-4881-85aa-4260f15f8d6e</vt:lpwstr>
  </property>
</Properties>
</file>